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6B50F611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50</w:t>
      </w:r>
      <w:r w:rsidR="004A0060">
        <w:rPr>
          <w:b/>
          <w:sz w:val="28"/>
          <w:szCs w:val="28"/>
        </w:rPr>
        <w:t>663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1EA04D72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4A0060" w:rsidRPr="004A0060">
        <w:t>Доставка на топлообемнници за вентилатори 5,6TL47,48 и 5,6UV32,36</w:t>
      </w:r>
      <w:r w:rsidR="00A55660" w:rsidRPr="00A55660">
        <w:t xml:space="preserve"> 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4ADA6DE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4A0060">
        <w:t>24</w:t>
      </w:r>
      <w:r w:rsidR="00742CB0">
        <w:t>.</w:t>
      </w:r>
      <w:r w:rsidR="004A0060">
        <w:t>0</w:t>
      </w:r>
      <w:r w:rsidR="00EF32DD">
        <w:t>1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44C6B239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4A0060">
        <w:t>31</w:t>
      </w:r>
      <w:r w:rsidR="002420A9">
        <w:t>.</w:t>
      </w:r>
      <w:r w:rsidR="004A0060">
        <w:t>0</w:t>
      </w:r>
      <w:r w:rsidR="00EF32DD">
        <w:t>1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3327E45" w14:textId="428FCA65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8A541E">
        <w:t>- Приложение №1</w:t>
      </w:r>
    </w:p>
    <w:p w14:paraId="23230572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1796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21</cp:revision>
  <cp:lastPrinted>2021-07-27T12:17:00Z</cp:lastPrinted>
  <dcterms:created xsi:type="dcterms:W3CDTF">2021-08-13T11:47:00Z</dcterms:created>
  <dcterms:modified xsi:type="dcterms:W3CDTF">2023-01-17T11:43:00Z</dcterms:modified>
</cp:coreProperties>
</file>