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58" w:rsidRPr="003858C4" w:rsidRDefault="00CF2758" w:rsidP="00606686">
      <w:pPr>
        <w:rPr>
          <w:b/>
          <w:sz w:val="16"/>
          <w:szCs w:val="16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38pt" o:ole="" fillcolor="window">
            <v:imagedata r:id="rId4" o:title=""/>
          </v:shape>
          <o:OLEObject Type="Embed" ProgID="PBrush" ShapeID="_x0000_i1025" DrawAspect="Content" ObjectID="_1729926461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6B5F29" w:rsidRPr="006B5F29" w:rsidRDefault="006B5F29" w:rsidP="003858C4">
      <w:pPr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B00573" w:rsidRPr="00AC69E0" w:rsidRDefault="00B00573" w:rsidP="00B00573">
      <w:pPr>
        <w:spacing w:line="360" w:lineRule="auto"/>
        <w:jc w:val="both"/>
        <w:rPr>
          <w:lang w:val="ru-RU"/>
        </w:rPr>
      </w:pPr>
    </w:p>
    <w:p w:rsidR="00B00573" w:rsidRDefault="00B00573" w:rsidP="003858C4">
      <w:pPr>
        <w:ind w:firstLine="851"/>
        <w:jc w:val="both"/>
        <w:rPr>
          <w:b/>
        </w:rPr>
      </w:pPr>
      <w:r w:rsidRPr="003858C4">
        <w:rPr>
          <w:b/>
        </w:rPr>
        <w:t>Уважаеми дами и господа,</w:t>
      </w:r>
    </w:p>
    <w:p w:rsidR="003858C4" w:rsidRPr="003858C4" w:rsidRDefault="003858C4" w:rsidP="003858C4">
      <w:pPr>
        <w:ind w:firstLine="851"/>
        <w:jc w:val="both"/>
        <w:rPr>
          <w:b/>
        </w:rPr>
      </w:pPr>
    </w:p>
    <w:p w:rsidR="00606686" w:rsidRDefault="00B00573" w:rsidP="003858C4">
      <w:pPr>
        <w:pStyle w:val="BodyText2"/>
        <w:spacing w:after="0" w:line="240" w:lineRule="auto"/>
        <w:ind w:firstLine="851"/>
        <w:jc w:val="both"/>
      </w:pPr>
      <w:r w:rsidRPr="003858C4">
        <w:t>„АЕЦ Козлодуй” ЕАД уведомява всички заинтересовани лица, че във връзка с</w:t>
      </w:r>
      <w:r w:rsidR="005C29DB" w:rsidRPr="003858C4">
        <w:t xml:space="preserve">ъс зададени въпроси по пазарна консултация №50206 с предмет </w:t>
      </w:r>
      <w:r w:rsidR="00606686" w:rsidRPr="003858C4">
        <w:t xml:space="preserve">„Доставка на устройство за </w:t>
      </w:r>
      <w:proofErr w:type="spellStart"/>
      <w:r w:rsidR="00606686" w:rsidRPr="003858C4">
        <w:t>газхроматографски</w:t>
      </w:r>
      <w:proofErr w:type="spellEnd"/>
      <w:r w:rsidR="00606686" w:rsidRPr="003858C4">
        <w:t xml:space="preserve"> анализ на масла”</w:t>
      </w:r>
      <w:r w:rsidR="005C29DB" w:rsidRPr="003858C4">
        <w:t xml:space="preserve"> прави разяснения, както следва:</w:t>
      </w:r>
      <w:r w:rsidR="00FD545F" w:rsidRPr="003858C4">
        <w:t xml:space="preserve"> </w:t>
      </w:r>
    </w:p>
    <w:p w:rsidR="003858C4" w:rsidRPr="003858C4" w:rsidRDefault="003858C4" w:rsidP="003858C4">
      <w:pPr>
        <w:pStyle w:val="BodyText2"/>
        <w:spacing w:after="0" w:line="240" w:lineRule="auto"/>
        <w:ind w:firstLine="851"/>
        <w:jc w:val="both"/>
      </w:pPr>
    </w:p>
    <w:p w:rsidR="003858C4" w:rsidRPr="003858C4" w:rsidRDefault="003858C4" w:rsidP="003858C4">
      <w:pPr>
        <w:jc w:val="both"/>
        <w:rPr>
          <w:b/>
        </w:rPr>
      </w:pPr>
      <w:r w:rsidRPr="003858C4">
        <w:t> </w:t>
      </w:r>
      <w:r w:rsidRPr="003858C4">
        <w:tab/>
      </w:r>
      <w:r w:rsidRPr="003858C4">
        <w:rPr>
          <w:b/>
        </w:rPr>
        <w:t>Въпрос 1:</w:t>
      </w:r>
    </w:p>
    <w:p w:rsidR="003858C4" w:rsidRPr="003858C4" w:rsidRDefault="003858C4" w:rsidP="003858C4">
      <w:pPr>
        <w:ind w:firstLine="708"/>
        <w:jc w:val="both"/>
      </w:pPr>
      <w:r w:rsidRPr="003858C4">
        <w:t>В</w:t>
      </w:r>
      <w:r w:rsidRPr="003858C4">
        <w:rPr>
          <w:b/>
          <w:bCs/>
        </w:rPr>
        <w:t> т.1</w:t>
      </w:r>
      <w:r w:rsidRPr="003858C4">
        <w:t xml:space="preserve"> от Техническото Задание №21.ОРУ.Т3.29 е посочено изискване за „преносимо устройство“, но за описаните цели се използват лабораторни </w:t>
      </w:r>
      <w:proofErr w:type="spellStart"/>
      <w:r w:rsidRPr="003858C4">
        <w:t>газхроматографски</w:t>
      </w:r>
      <w:proofErr w:type="spellEnd"/>
      <w:r w:rsidRPr="003858C4">
        <w:t xml:space="preserve"> инструменти.</w:t>
      </w:r>
    </w:p>
    <w:p w:rsidR="003858C4" w:rsidRDefault="003858C4" w:rsidP="003858C4">
      <w:pPr>
        <w:jc w:val="both"/>
      </w:pPr>
      <w:r w:rsidRPr="003858C4">
        <w:t>Къде ще бъде използван инструмента и дали бихте приели лабораторен инструмент за целта?</w:t>
      </w:r>
    </w:p>
    <w:p w:rsidR="003858C4" w:rsidRPr="003858C4" w:rsidRDefault="003858C4" w:rsidP="003858C4">
      <w:pPr>
        <w:jc w:val="both"/>
        <w:rPr>
          <w:sz w:val="10"/>
          <w:szCs w:val="10"/>
        </w:rPr>
      </w:pPr>
    </w:p>
    <w:p w:rsidR="003858C4" w:rsidRPr="003858C4" w:rsidRDefault="003858C4" w:rsidP="003858C4">
      <w:pPr>
        <w:ind w:firstLine="708"/>
        <w:jc w:val="both"/>
        <w:rPr>
          <w:b/>
        </w:rPr>
      </w:pPr>
      <w:r w:rsidRPr="003858C4">
        <w:rPr>
          <w:b/>
        </w:rPr>
        <w:t>Отговор на въпрос 1:</w:t>
      </w:r>
    </w:p>
    <w:p w:rsidR="003858C4" w:rsidRPr="003858C4" w:rsidRDefault="003858C4" w:rsidP="003858C4">
      <w:pPr>
        <w:ind w:firstLine="708"/>
        <w:jc w:val="both"/>
      </w:pPr>
      <w:r w:rsidRPr="003858C4">
        <w:t xml:space="preserve">Устройството ще бъде използвано за </w:t>
      </w:r>
      <w:proofErr w:type="spellStart"/>
      <w:r w:rsidRPr="003858C4">
        <w:t>газхроматографски</w:t>
      </w:r>
      <w:proofErr w:type="spellEnd"/>
      <w:r w:rsidRPr="003858C4">
        <w:t xml:space="preserve"> анализ на масла от електрически съоръжения в обектите на АЕЦ Козлодуй, някой от които не са в непосредствена близост и технически е по-правилно пробите да се вземат на място от обучен персонал.  Устройства различно от упоменатото в техническото задание - "преносими устройство" не отговарят на изискванията на заданието.</w:t>
      </w:r>
    </w:p>
    <w:p w:rsidR="003858C4" w:rsidRPr="003858C4" w:rsidRDefault="003858C4" w:rsidP="003858C4">
      <w:pPr>
        <w:jc w:val="both"/>
      </w:pPr>
      <w:r w:rsidRPr="003858C4">
        <w:t> </w:t>
      </w:r>
    </w:p>
    <w:p w:rsidR="003858C4" w:rsidRPr="003858C4" w:rsidRDefault="003858C4" w:rsidP="003858C4">
      <w:pPr>
        <w:ind w:firstLine="708"/>
        <w:jc w:val="both"/>
        <w:rPr>
          <w:b/>
        </w:rPr>
      </w:pPr>
      <w:r w:rsidRPr="003858C4">
        <w:rPr>
          <w:b/>
        </w:rPr>
        <w:t>Въпрос 2:</w:t>
      </w:r>
    </w:p>
    <w:p w:rsidR="003858C4" w:rsidRDefault="003858C4" w:rsidP="003858C4">
      <w:pPr>
        <w:ind w:firstLine="708"/>
        <w:jc w:val="both"/>
      </w:pPr>
      <w:r w:rsidRPr="003858C4">
        <w:t>В </w:t>
      </w:r>
      <w:r w:rsidRPr="003858C4">
        <w:rPr>
          <w:b/>
          <w:bCs/>
        </w:rPr>
        <w:t>т.1 </w:t>
      </w:r>
      <w:r w:rsidRPr="003858C4">
        <w:t>от Техническото Задание №21.ОРУ.Т3.29 е посочено „11 (единадесет) вида газ“. Можете ли да посочите кои са те и в какви очаквани концентрации.</w:t>
      </w:r>
    </w:p>
    <w:p w:rsidR="003858C4" w:rsidRPr="003858C4" w:rsidRDefault="003858C4" w:rsidP="003858C4">
      <w:pPr>
        <w:ind w:firstLine="708"/>
        <w:jc w:val="both"/>
        <w:rPr>
          <w:b/>
          <w:sz w:val="10"/>
          <w:szCs w:val="10"/>
        </w:rPr>
      </w:pPr>
    </w:p>
    <w:p w:rsidR="003858C4" w:rsidRPr="003858C4" w:rsidRDefault="003858C4" w:rsidP="003858C4">
      <w:pPr>
        <w:ind w:firstLine="708"/>
        <w:jc w:val="both"/>
        <w:rPr>
          <w:b/>
        </w:rPr>
      </w:pPr>
      <w:r w:rsidRPr="003858C4">
        <w:rPr>
          <w:b/>
        </w:rPr>
        <w:t>Отговор на въпрос 2:</w:t>
      </w:r>
    </w:p>
    <w:p w:rsidR="003858C4" w:rsidRPr="003858C4" w:rsidRDefault="003858C4" w:rsidP="003858C4">
      <w:pPr>
        <w:ind w:firstLine="708"/>
        <w:jc w:val="both"/>
      </w:pPr>
      <w:r w:rsidRPr="003858C4">
        <w:t>В техническата спецификация към техническото задание( табличен вид) са упоменати  видовете газове и допустими концентрации.</w:t>
      </w:r>
    </w:p>
    <w:p w:rsidR="003858C4" w:rsidRPr="003858C4" w:rsidRDefault="003858C4" w:rsidP="003858C4">
      <w:pPr>
        <w:jc w:val="both"/>
      </w:pPr>
      <w:r w:rsidRPr="003858C4">
        <w:t> </w:t>
      </w:r>
    </w:p>
    <w:p w:rsidR="003858C4" w:rsidRPr="003858C4" w:rsidRDefault="003858C4" w:rsidP="003858C4">
      <w:pPr>
        <w:ind w:firstLine="708"/>
        <w:jc w:val="both"/>
        <w:rPr>
          <w:b/>
        </w:rPr>
      </w:pPr>
      <w:r w:rsidRPr="003858C4">
        <w:rPr>
          <w:b/>
        </w:rPr>
        <w:t>Въпрос 3:</w:t>
      </w:r>
    </w:p>
    <w:p w:rsidR="003858C4" w:rsidRPr="003858C4" w:rsidRDefault="003858C4" w:rsidP="003858C4">
      <w:pPr>
        <w:ind w:firstLine="708"/>
        <w:jc w:val="both"/>
      </w:pPr>
      <w:r w:rsidRPr="003858C4">
        <w:t>В </w:t>
      </w:r>
      <w:r w:rsidRPr="003858C4">
        <w:rPr>
          <w:b/>
          <w:bCs/>
        </w:rPr>
        <w:t>т.2.7</w:t>
      </w:r>
      <w:r w:rsidRPr="003858C4">
        <w:t>. от Техническото Задание №21.ОРУ.Т3.29 е посочено, че оборудването трябва да съответства на </w:t>
      </w:r>
      <w:r w:rsidRPr="003858C4">
        <w:rPr>
          <w:lang w:val="en-US"/>
        </w:rPr>
        <w:t>ASTM D3612 </w:t>
      </w:r>
      <w:r w:rsidRPr="003858C4">
        <w:t>метод.  </w:t>
      </w:r>
    </w:p>
    <w:p w:rsidR="003858C4" w:rsidRDefault="003858C4" w:rsidP="003858C4">
      <w:pPr>
        <w:jc w:val="both"/>
      </w:pPr>
      <w:r w:rsidRPr="003858C4">
        <w:t>Този метод има няколко варианта. Можете ли да посочите на кой вариант – </w:t>
      </w:r>
      <w:r w:rsidRPr="003858C4">
        <w:rPr>
          <w:lang w:val="en-US"/>
        </w:rPr>
        <w:t>A</w:t>
      </w:r>
      <w:r w:rsidRPr="003858C4">
        <w:t>, </w:t>
      </w:r>
      <w:r w:rsidRPr="003858C4">
        <w:rPr>
          <w:lang w:val="en-US"/>
        </w:rPr>
        <w:t>C </w:t>
      </w:r>
      <w:r w:rsidRPr="003858C4">
        <w:t>или и двата трябва да съответства оборудването?</w:t>
      </w:r>
    </w:p>
    <w:p w:rsidR="003858C4" w:rsidRPr="003858C4" w:rsidRDefault="003858C4" w:rsidP="003858C4">
      <w:pPr>
        <w:jc w:val="both"/>
      </w:pPr>
    </w:p>
    <w:p w:rsidR="003858C4" w:rsidRPr="003858C4" w:rsidRDefault="003858C4" w:rsidP="003858C4">
      <w:pPr>
        <w:ind w:firstLine="708"/>
        <w:jc w:val="both"/>
        <w:rPr>
          <w:b/>
        </w:rPr>
      </w:pPr>
      <w:r w:rsidRPr="003858C4">
        <w:rPr>
          <w:b/>
        </w:rPr>
        <w:t>Отговор  на въпрос 3:</w:t>
      </w:r>
    </w:p>
    <w:p w:rsidR="003858C4" w:rsidRPr="003858C4" w:rsidRDefault="003858C4" w:rsidP="003858C4">
      <w:pPr>
        <w:ind w:firstLine="708"/>
        <w:jc w:val="both"/>
      </w:pPr>
      <w:r w:rsidRPr="003858C4">
        <w:t xml:space="preserve">Изискването за изследване на  „11 (единадесет) вида газ“ в това число пропан определя варианта на метода, а именно ASTM D3612a (вакуумна дегазация). </w:t>
      </w:r>
    </w:p>
    <w:p w:rsidR="003858C4" w:rsidRPr="003858C4" w:rsidRDefault="003858C4" w:rsidP="003858C4">
      <w:pPr>
        <w:jc w:val="both"/>
      </w:pPr>
      <w:r w:rsidRPr="003858C4">
        <w:t> </w:t>
      </w:r>
    </w:p>
    <w:p w:rsidR="003858C4" w:rsidRPr="003858C4" w:rsidRDefault="003858C4" w:rsidP="003858C4">
      <w:pPr>
        <w:ind w:firstLine="708"/>
        <w:jc w:val="both"/>
        <w:rPr>
          <w:b/>
        </w:rPr>
      </w:pPr>
      <w:r w:rsidRPr="003858C4">
        <w:rPr>
          <w:b/>
        </w:rPr>
        <w:t>Въпрос 4:</w:t>
      </w:r>
    </w:p>
    <w:p w:rsidR="003858C4" w:rsidRPr="003858C4" w:rsidRDefault="003858C4" w:rsidP="003858C4">
      <w:pPr>
        <w:ind w:firstLine="708"/>
        <w:jc w:val="both"/>
      </w:pPr>
      <w:r w:rsidRPr="003858C4">
        <w:t>В </w:t>
      </w:r>
      <w:r w:rsidRPr="003858C4">
        <w:rPr>
          <w:b/>
          <w:bCs/>
        </w:rPr>
        <w:t>т.3.1</w:t>
      </w:r>
      <w:r w:rsidRPr="003858C4">
        <w:t>. сте посочили срок за доставка до 45 календарни дни.</w:t>
      </w:r>
    </w:p>
    <w:p w:rsidR="003858C4" w:rsidRDefault="003858C4" w:rsidP="003858C4">
      <w:pPr>
        <w:jc w:val="both"/>
      </w:pPr>
      <w:r w:rsidRPr="003858C4">
        <w:t>Изработването на подобен тип специализирано оборудване отнема по-дълъг период. Бихте ли приели по-дълъг срок за доставка, от порядъка на </w:t>
      </w:r>
      <w:r w:rsidRPr="003858C4">
        <w:rPr>
          <w:b/>
          <w:bCs/>
        </w:rPr>
        <w:t>90 дни</w:t>
      </w:r>
      <w:r w:rsidRPr="003858C4">
        <w:t>?</w:t>
      </w:r>
    </w:p>
    <w:p w:rsidR="003858C4" w:rsidRPr="003858C4" w:rsidRDefault="003858C4" w:rsidP="003858C4">
      <w:pPr>
        <w:jc w:val="both"/>
        <w:rPr>
          <w:sz w:val="10"/>
          <w:szCs w:val="10"/>
        </w:rPr>
      </w:pPr>
      <w:bookmarkStart w:id="0" w:name="_GoBack"/>
      <w:bookmarkEnd w:id="0"/>
    </w:p>
    <w:p w:rsidR="003858C4" w:rsidRPr="003858C4" w:rsidRDefault="003858C4" w:rsidP="003858C4">
      <w:pPr>
        <w:ind w:firstLine="708"/>
        <w:jc w:val="both"/>
        <w:rPr>
          <w:b/>
        </w:rPr>
      </w:pPr>
      <w:r w:rsidRPr="003858C4">
        <w:rPr>
          <w:b/>
        </w:rPr>
        <w:t>Отговор на въпрос 4:</w:t>
      </w:r>
    </w:p>
    <w:p w:rsidR="003858C4" w:rsidRPr="003858C4" w:rsidRDefault="003858C4" w:rsidP="003858C4">
      <w:pPr>
        <w:ind w:firstLine="708"/>
        <w:jc w:val="both"/>
      </w:pPr>
      <w:r w:rsidRPr="003858C4">
        <w:t>Срок  различен от упоменатия в техническото задание  не отговаря на изискванията на заданието.</w:t>
      </w:r>
    </w:p>
    <w:sectPr w:rsidR="003858C4" w:rsidRPr="003858C4" w:rsidSect="003858C4">
      <w:pgSz w:w="12240" w:h="15840"/>
      <w:pgMar w:top="142" w:right="758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52136"/>
    <w:rsid w:val="003546E3"/>
    <w:rsid w:val="00365BA1"/>
    <w:rsid w:val="00366424"/>
    <w:rsid w:val="003715F0"/>
    <w:rsid w:val="003858C4"/>
    <w:rsid w:val="00385E7F"/>
    <w:rsid w:val="00393541"/>
    <w:rsid w:val="003C6A03"/>
    <w:rsid w:val="003D1A45"/>
    <w:rsid w:val="003D280C"/>
    <w:rsid w:val="003D4725"/>
    <w:rsid w:val="003E766F"/>
    <w:rsid w:val="003F0DC6"/>
    <w:rsid w:val="003F22F3"/>
    <w:rsid w:val="00430104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29DB"/>
    <w:rsid w:val="005C732D"/>
    <w:rsid w:val="005D6D52"/>
    <w:rsid w:val="005F010E"/>
    <w:rsid w:val="00601ECB"/>
    <w:rsid w:val="00606686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2C81"/>
    <w:rsid w:val="00863DFD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00573"/>
    <w:rsid w:val="00B15D69"/>
    <w:rsid w:val="00B22CF4"/>
    <w:rsid w:val="00B24416"/>
    <w:rsid w:val="00B353C4"/>
    <w:rsid w:val="00B37A48"/>
    <w:rsid w:val="00B52F06"/>
    <w:rsid w:val="00B55331"/>
    <w:rsid w:val="00B56082"/>
    <w:rsid w:val="00B6652D"/>
    <w:rsid w:val="00B85416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CB8"/>
    <w:rsid w:val="00C20284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D5133"/>
    <w:rsid w:val="00DE0332"/>
    <w:rsid w:val="00DF3F81"/>
    <w:rsid w:val="00E001CD"/>
    <w:rsid w:val="00E03562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78BC5"/>
  <w15:docId w15:val="{F3B9E0FC-497C-469D-93A6-0A81F44F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4</cp:revision>
  <cp:lastPrinted>2020-01-13T13:09:00Z</cp:lastPrinted>
  <dcterms:created xsi:type="dcterms:W3CDTF">2022-11-14T08:10:00Z</dcterms:created>
  <dcterms:modified xsi:type="dcterms:W3CDTF">2022-11-14T08:21:00Z</dcterms:modified>
</cp:coreProperties>
</file>