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B25275">
        <w:rPr>
          <w:b/>
          <w:szCs w:val="24"/>
        </w:rPr>
        <w:t>Доставка на карбонов инструмент с дистанционен захват дължина 3 м</w:t>
      </w:r>
      <w:r w:rsidRPr="00886AD2">
        <w:rPr>
          <w:b/>
        </w:rPr>
        <w:t>”</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4942"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9"/>
        <w:gridCol w:w="4892"/>
        <w:gridCol w:w="1617"/>
        <w:gridCol w:w="761"/>
        <w:gridCol w:w="2028"/>
        <w:gridCol w:w="1783"/>
        <w:gridCol w:w="1866"/>
        <w:gridCol w:w="1546"/>
      </w:tblGrid>
      <w:tr w:rsidR="005E517C" w:rsidRPr="005E517C" w:rsidTr="005E517C">
        <w:trPr>
          <w:trHeight w:val="1627"/>
          <w:jc w:val="center"/>
        </w:trPr>
        <w:tc>
          <w:tcPr>
            <w:tcW w:w="449" w:type="dxa"/>
            <w:shd w:val="clear" w:color="auto" w:fill="auto"/>
            <w:vAlign w:val="center"/>
          </w:tcPr>
          <w:p w:rsidR="005E517C" w:rsidRPr="005E517C" w:rsidRDefault="005E517C" w:rsidP="009A35B4">
            <w:pPr>
              <w:jc w:val="center"/>
              <w:rPr>
                <w:b/>
                <w:bCs/>
                <w:lang w:val="bg-BG"/>
              </w:rPr>
            </w:pPr>
            <w:r w:rsidRPr="005E517C">
              <w:rPr>
                <w:b/>
                <w:bCs/>
                <w:lang w:val="bg-BG"/>
              </w:rPr>
              <w:t>№</w:t>
            </w:r>
          </w:p>
        </w:tc>
        <w:tc>
          <w:tcPr>
            <w:tcW w:w="4892" w:type="dxa"/>
            <w:vAlign w:val="center"/>
          </w:tcPr>
          <w:p w:rsidR="005E517C" w:rsidRPr="005E517C" w:rsidRDefault="005E517C" w:rsidP="004F2789">
            <w:pPr>
              <w:jc w:val="center"/>
              <w:rPr>
                <w:b/>
                <w:bCs/>
                <w:lang w:val="bg-BG"/>
              </w:rPr>
            </w:pPr>
            <w:r w:rsidRPr="005E517C">
              <w:rPr>
                <w:b/>
                <w:bCs/>
                <w:lang w:val="bg-BG"/>
              </w:rPr>
              <w:t>Наименование, описание и технически характеристики на предлаганата стока</w:t>
            </w:r>
          </w:p>
          <w:p w:rsidR="005E517C" w:rsidRPr="005E517C" w:rsidRDefault="005E517C" w:rsidP="004F2789">
            <w:pPr>
              <w:jc w:val="center"/>
              <w:rPr>
                <w:bCs/>
                <w:lang w:val="bg-BG"/>
              </w:rPr>
            </w:pPr>
            <w:r w:rsidRPr="005E517C">
              <w:rPr>
                <w:bCs/>
                <w:lang w:val="bg-BG"/>
              </w:rPr>
              <w:t>(съгласно Приложение № 1 от ТС)</w:t>
            </w:r>
          </w:p>
        </w:tc>
        <w:tc>
          <w:tcPr>
            <w:tcW w:w="1617" w:type="dxa"/>
            <w:shd w:val="clear" w:color="auto" w:fill="auto"/>
            <w:vAlign w:val="center"/>
          </w:tcPr>
          <w:p w:rsidR="005E517C" w:rsidRPr="005E517C" w:rsidRDefault="005E517C" w:rsidP="009A35B4">
            <w:pPr>
              <w:jc w:val="center"/>
              <w:rPr>
                <w:b/>
                <w:bCs/>
                <w:lang w:val="bg-BG"/>
              </w:rPr>
            </w:pPr>
            <w:r w:rsidRPr="005E517C">
              <w:rPr>
                <w:b/>
                <w:bCs/>
                <w:lang w:val="bg-BG"/>
              </w:rPr>
              <w:t>Мярка/мерна единица</w:t>
            </w:r>
          </w:p>
        </w:tc>
        <w:tc>
          <w:tcPr>
            <w:tcW w:w="761" w:type="dxa"/>
            <w:shd w:val="clear" w:color="auto" w:fill="auto"/>
            <w:vAlign w:val="center"/>
          </w:tcPr>
          <w:p w:rsidR="005E517C" w:rsidRPr="005E517C" w:rsidRDefault="005E517C" w:rsidP="004F2789">
            <w:pPr>
              <w:jc w:val="center"/>
              <w:rPr>
                <w:b/>
                <w:bCs/>
                <w:lang w:val="bg-BG"/>
              </w:rPr>
            </w:pPr>
            <w:r w:rsidRPr="005E517C">
              <w:rPr>
                <w:b/>
                <w:bCs/>
                <w:lang w:val="bg-BG"/>
              </w:rPr>
              <w:t>К-во</w:t>
            </w:r>
          </w:p>
        </w:tc>
        <w:tc>
          <w:tcPr>
            <w:tcW w:w="2028" w:type="dxa"/>
            <w:vAlign w:val="center"/>
          </w:tcPr>
          <w:p w:rsidR="005E517C" w:rsidRPr="005E517C" w:rsidRDefault="005E517C" w:rsidP="009A35B4">
            <w:pPr>
              <w:jc w:val="center"/>
              <w:rPr>
                <w:b/>
                <w:bCs/>
                <w:lang w:val="bg-BG"/>
              </w:rPr>
            </w:pPr>
            <w:r w:rsidRPr="005E517C">
              <w:rPr>
                <w:b/>
                <w:bCs/>
                <w:lang w:val="bg-BG"/>
              </w:rPr>
              <w:t>Стандарт, нормативен документ, каталожен номер и др.</w:t>
            </w:r>
          </w:p>
        </w:tc>
        <w:tc>
          <w:tcPr>
            <w:tcW w:w="1783" w:type="dxa"/>
            <w:vAlign w:val="center"/>
          </w:tcPr>
          <w:p w:rsidR="005E517C" w:rsidRPr="005E517C" w:rsidRDefault="005E517C" w:rsidP="009A35B4">
            <w:pPr>
              <w:jc w:val="center"/>
              <w:rPr>
                <w:bCs/>
                <w:lang w:val="bg-BG"/>
              </w:rPr>
            </w:pPr>
            <w:r w:rsidRPr="005E517C">
              <w:rPr>
                <w:b/>
                <w:bCs/>
                <w:lang w:val="bg-BG"/>
              </w:rPr>
              <w:t>Производител</w:t>
            </w:r>
            <w:r w:rsidRPr="005E517C">
              <w:rPr>
                <w:b/>
                <w:lang w:val="bg-BG"/>
              </w:rPr>
              <w:t xml:space="preserve"> и страна на произход на стоката</w:t>
            </w:r>
          </w:p>
        </w:tc>
        <w:tc>
          <w:tcPr>
            <w:tcW w:w="1866" w:type="dxa"/>
            <w:vAlign w:val="center"/>
          </w:tcPr>
          <w:p w:rsidR="005E517C" w:rsidRPr="00CA1330" w:rsidRDefault="005E517C" w:rsidP="005E517C">
            <w:pPr>
              <w:jc w:val="center"/>
              <w:rPr>
                <w:b/>
                <w:bCs/>
                <w:lang w:val="bg-BG"/>
              </w:rPr>
            </w:pPr>
            <w:r w:rsidRPr="00CA1330">
              <w:rPr>
                <w:b/>
                <w:bCs/>
                <w:lang w:val="bg-BG"/>
              </w:rPr>
              <w:t>Срок на доставка</w:t>
            </w:r>
          </w:p>
          <w:p w:rsidR="005E517C" w:rsidRPr="00CA1330" w:rsidRDefault="005E517C" w:rsidP="005E517C">
            <w:pPr>
              <w:jc w:val="center"/>
              <w:rPr>
                <w:bCs/>
                <w:lang w:val="bg-BG"/>
              </w:rPr>
            </w:pPr>
            <w:r w:rsidRPr="00CA1330">
              <w:rPr>
                <w:bCs/>
                <w:lang w:val="bg-BG"/>
              </w:rPr>
              <w:t>.......... кал. дни</w:t>
            </w:r>
          </w:p>
          <w:p w:rsidR="005E517C" w:rsidRPr="00CA1330" w:rsidRDefault="005E517C" w:rsidP="00CA1330">
            <w:pPr>
              <w:jc w:val="center"/>
              <w:rPr>
                <w:bCs/>
                <w:lang w:val="bg-BG"/>
              </w:rPr>
            </w:pPr>
            <w:r w:rsidRPr="00CA1330">
              <w:rPr>
                <w:bCs/>
                <w:lang w:val="bg-BG"/>
              </w:rPr>
              <w:t xml:space="preserve">(до </w:t>
            </w:r>
            <w:r w:rsidR="00CA1330" w:rsidRPr="00CA1330">
              <w:rPr>
                <w:bCs/>
                <w:lang w:val="bg-BG"/>
              </w:rPr>
              <w:t>18</w:t>
            </w:r>
            <w:r w:rsidRPr="00CA1330">
              <w:rPr>
                <w:bCs/>
                <w:lang w:val="bg-BG"/>
              </w:rPr>
              <w:t>0 кал. дни)</w:t>
            </w:r>
          </w:p>
        </w:tc>
        <w:tc>
          <w:tcPr>
            <w:tcW w:w="1546" w:type="dxa"/>
            <w:vAlign w:val="center"/>
          </w:tcPr>
          <w:p w:rsidR="005E517C" w:rsidRPr="00CA1330" w:rsidRDefault="005E517C" w:rsidP="004F2789">
            <w:pPr>
              <w:jc w:val="center"/>
              <w:rPr>
                <w:bCs/>
                <w:lang w:val="bg-BG"/>
              </w:rPr>
            </w:pPr>
            <w:r w:rsidRPr="00CA1330">
              <w:rPr>
                <w:b/>
                <w:bCs/>
                <w:lang w:val="bg-BG"/>
              </w:rPr>
              <w:t>Забележка</w:t>
            </w:r>
          </w:p>
        </w:tc>
      </w:tr>
      <w:tr w:rsidR="005E517C" w:rsidRPr="004F2789" w:rsidTr="005E517C">
        <w:trPr>
          <w:trHeight w:val="270"/>
          <w:jc w:val="center"/>
        </w:trPr>
        <w:tc>
          <w:tcPr>
            <w:tcW w:w="449" w:type="dxa"/>
            <w:shd w:val="clear" w:color="auto" w:fill="auto"/>
            <w:vAlign w:val="center"/>
          </w:tcPr>
          <w:p w:rsidR="005E517C" w:rsidRPr="005E517C" w:rsidRDefault="005E517C" w:rsidP="009A35B4">
            <w:pPr>
              <w:jc w:val="center"/>
              <w:rPr>
                <w:b/>
                <w:bCs/>
                <w:i/>
                <w:iCs/>
                <w:sz w:val="20"/>
                <w:szCs w:val="20"/>
              </w:rPr>
            </w:pPr>
            <w:r w:rsidRPr="005E517C">
              <w:rPr>
                <w:b/>
                <w:bCs/>
                <w:i/>
                <w:iCs/>
                <w:sz w:val="20"/>
                <w:szCs w:val="20"/>
              </w:rPr>
              <w:t>1</w:t>
            </w:r>
          </w:p>
        </w:tc>
        <w:tc>
          <w:tcPr>
            <w:tcW w:w="4892" w:type="dxa"/>
            <w:vAlign w:val="center"/>
          </w:tcPr>
          <w:p w:rsidR="005E517C" w:rsidRPr="005E517C" w:rsidRDefault="005E517C" w:rsidP="00F936CA">
            <w:pPr>
              <w:jc w:val="center"/>
              <w:rPr>
                <w:b/>
                <w:bCs/>
                <w:i/>
                <w:iCs/>
                <w:sz w:val="20"/>
                <w:szCs w:val="20"/>
                <w:lang w:val="ru-RU"/>
              </w:rPr>
            </w:pPr>
            <w:r w:rsidRPr="005E517C">
              <w:rPr>
                <w:b/>
                <w:bCs/>
                <w:i/>
                <w:iCs/>
                <w:sz w:val="20"/>
                <w:szCs w:val="20"/>
                <w:lang w:val="ru-RU"/>
              </w:rPr>
              <w:t>2</w:t>
            </w:r>
          </w:p>
        </w:tc>
        <w:tc>
          <w:tcPr>
            <w:tcW w:w="1617" w:type="dxa"/>
            <w:shd w:val="clear" w:color="auto" w:fill="auto"/>
            <w:vAlign w:val="center"/>
          </w:tcPr>
          <w:p w:rsidR="005E517C" w:rsidRPr="005E517C" w:rsidRDefault="005E517C" w:rsidP="009A35B4">
            <w:pPr>
              <w:jc w:val="center"/>
              <w:rPr>
                <w:b/>
                <w:bCs/>
                <w:i/>
                <w:iCs/>
                <w:sz w:val="20"/>
                <w:szCs w:val="20"/>
                <w:lang w:val="ru-RU"/>
              </w:rPr>
            </w:pPr>
            <w:r w:rsidRPr="005E517C">
              <w:rPr>
                <w:b/>
                <w:bCs/>
                <w:i/>
                <w:iCs/>
                <w:sz w:val="20"/>
                <w:szCs w:val="20"/>
                <w:lang w:val="ru-RU"/>
              </w:rPr>
              <w:t>3</w:t>
            </w:r>
          </w:p>
        </w:tc>
        <w:tc>
          <w:tcPr>
            <w:tcW w:w="761" w:type="dxa"/>
            <w:shd w:val="clear" w:color="auto" w:fill="auto"/>
            <w:vAlign w:val="center"/>
          </w:tcPr>
          <w:p w:rsidR="005E517C" w:rsidRPr="005E517C" w:rsidRDefault="005E517C" w:rsidP="009A35B4">
            <w:pPr>
              <w:jc w:val="center"/>
              <w:rPr>
                <w:b/>
                <w:bCs/>
                <w:i/>
                <w:iCs/>
                <w:sz w:val="20"/>
                <w:szCs w:val="20"/>
                <w:lang w:val="ru-RU"/>
              </w:rPr>
            </w:pPr>
            <w:r w:rsidRPr="005E517C">
              <w:rPr>
                <w:b/>
                <w:bCs/>
                <w:i/>
                <w:iCs/>
                <w:sz w:val="20"/>
                <w:szCs w:val="20"/>
                <w:lang w:val="ru-RU"/>
              </w:rPr>
              <w:t>4</w:t>
            </w:r>
          </w:p>
        </w:tc>
        <w:tc>
          <w:tcPr>
            <w:tcW w:w="2028" w:type="dxa"/>
            <w:vAlign w:val="center"/>
          </w:tcPr>
          <w:p w:rsidR="005E517C" w:rsidRPr="005E517C" w:rsidRDefault="005E517C" w:rsidP="009A35B4">
            <w:pPr>
              <w:jc w:val="center"/>
              <w:rPr>
                <w:b/>
                <w:bCs/>
                <w:i/>
                <w:iCs/>
                <w:sz w:val="20"/>
                <w:szCs w:val="20"/>
                <w:lang w:val="bg-BG"/>
              </w:rPr>
            </w:pPr>
            <w:r w:rsidRPr="005E517C">
              <w:rPr>
                <w:b/>
                <w:bCs/>
                <w:i/>
                <w:iCs/>
                <w:sz w:val="20"/>
                <w:szCs w:val="20"/>
                <w:lang w:val="bg-BG"/>
              </w:rPr>
              <w:t>5</w:t>
            </w:r>
          </w:p>
        </w:tc>
        <w:tc>
          <w:tcPr>
            <w:tcW w:w="1783" w:type="dxa"/>
            <w:vAlign w:val="center"/>
          </w:tcPr>
          <w:p w:rsidR="005E517C" w:rsidRPr="005E517C" w:rsidRDefault="005E517C" w:rsidP="009A35B4">
            <w:pPr>
              <w:jc w:val="center"/>
              <w:rPr>
                <w:b/>
                <w:bCs/>
                <w:i/>
                <w:iCs/>
                <w:sz w:val="20"/>
                <w:szCs w:val="20"/>
                <w:lang w:val="bg-BG"/>
              </w:rPr>
            </w:pPr>
            <w:r w:rsidRPr="005E517C">
              <w:rPr>
                <w:b/>
                <w:bCs/>
                <w:i/>
                <w:iCs/>
                <w:sz w:val="20"/>
                <w:szCs w:val="20"/>
                <w:lang w:val="bg-BG"/>
              </w:rPr>
              <w:t>6</w:t>
            </w:r>
          </w:p>
        </w:tc>
        <w:tc>
          <w:tcPr>
            <w:tcW w:w="1866" w:type="dxa"/>
            <w:vAlign w:val="center"/>
          </w:tcPr>
          <w:p w:rsidR="005E517C" w:rsidRPr="005E517C" w:rsidRDefault="005E517C" w:rsidP="009A35B4">
            <w:pPr>
              <w:jc w:val="center"/>
              <w:rPr>
                <w:b/>
                <w:bCs/>
                <w:i/>
                <w:iCs/>
                <w:sz w:val="20"/>
                <w:szCs w:val="20"/>
                <w:lang w:val="bg-BG"/>
              </w:rPr>
            </w:pPr>
            <w:r w:rsidRPr="005E517C">
              <w:rPr>
                <w:b/>
                <w:bCs/>
                <w:i/>
                <w:iCs/>
                <w:sz w:val="20"/>
                <w:szCs w:val="20"/>
                <w:lang w:val="bg-BG"/>
              </w:rPr>
              <w:t>7</w:t>
            </w:r>
          </w:p>
        </w:tc>
        <w:tc>
          <w:tcPr>
            <w:tcW w:w="1546" w:type="dxa"/>
            <w:vAlign w:val="center"/>
          </w:tcPr>
          <w:p w:rsidR="005E517C" w:rsidRPr="005E517C" w:rsidRDefault="005E517C" w:rsidP="009A35B4">
            <w:pPr>
              <w:jc w:val="center"/>
              <w:rPr>
                <w:b/>
                <w:bCs/>
                <w:i/>
                <w:iCs/>
                <w:sz w:val="20"/>
                <w:szCs w:val="20"/>
                <w:lang w:val="bg-BG"/>
              </w:rPr>
            </w:pPr>
            <w:r w:rsidRPr="005E517C">
              <w:rPr>
                <w:b/>
                <w:bCs/>
                <w:i/>
                <w:iCs/>
                <w:sz w:val="20"/>
                <w:szCs w:val="20"/>
                <w:lang w:val="bg-BG"/>
              </w:rPr>
              <w:t>8</w:t>
            </w:r>
          </w:p>
        </w:tc>
      </w:tr>
      <w:tr w:rsidR="005E517C" w:rsidRPr="004F2789" w:rsidTr="005E517C">
        <w:trPr>
          <w:trHeight w:val="315"/>
          <w:jc w:val="center"/>
        </w:trPr>
        <w:tc>
          <w:tcPr>
            <w:tcW w:w="449" w:type="dxa"/>
            <w:shd w:val="clear" w:color="auto" w:fill="auto"/>
            <w:vAlign w:val="center"/>
          </w:tcPr>
          <w:p w:rsidR="005E517C" w:rsidRPr="004F2789" w:rsidRDefault="005E517C" w:rsidP="009A35B4">
            <w:pPr>
              <w:jc w:val="center"/>
            </w:pPr>
            <w:r w:rsidRPr="004F2789">
              <w:t>1</w:t>
            </w:r>
          </w:p>
        </w:tc>
        <w:tc>
          <w:tcPr>
            <w:tcW w:w="4892" w:type="dxa"/>
          </w:tcPr>
          <w:p w:rsidR="005E517C" w:rsidRPr="004F2789" w:rsidRDefault="005E517C" w:rsidP="009A35B4">
            <w:pPr>
              <w:jc w:val="center"/>
              <w:rPr>
                <w:b/>
                <w:bCs/>
                <w:i/>
                <w:iCs/>
              </w:rPr>
            </w:pPr>
            <w:r w:rsidRPr="004F2789">
              <w:rPr>
                <w:b/>
                <w:bCs/>
                <w:i/>
                <w:iCs/>
              </w:rPr>
              <w:t> </w:t>
            </w:r>
          </w:p>
        </w:tc>
        <w:tc>
          <w:tcPr>
            <w:tcW w:w="1617" w:type="dxa"/>
            <w:shd w:val="clear" w:color="auto" w:fill="auto"/>
            <w:vAlign w:val="center"/>
          </w:tcPr>
          <w:p w:rsidR="005E517C" w:rsidRPr="004F2789" w:rsidRDefault="005E517C" w:rsidP="009A35B4">
            <w:pPr>
              <w:jc w:val="center"/>
              <w:rPr>
                <w:b/>
                <w:bCs/>
                <w:i/>
                <w:iCs/>
              </w:rPr>
            </w:pPr>
            <w:r w:rsidRPr="004F2789">
              <w:rPr>
                <w:b/>
                <w:bCs/>
                <w:i/>
                <w:iCs/>
              </w:rPr>
              <w:t> </w:t>
            </w:r>
          </w:p>
        </w:tc>
        <w:tc>
          <w:tcPr>
            <w:tcW w:w="761" w:type="dxa"/>
            <w:shd w:val="clear" w:color="auto" w:fill="auto"/>
            <w:vAlign w:val="center"/>
          </w:tcPr>
          <w:p w:rsidR="005E517C" w:rsidRPr="004F2789" w:rsidRDefault="005E517C" w:rsidP="009A35B4">
            <w:pPr>
              <w:jc w:val="center"/>
              <w:rPr>
                <w:b/>
                <w:bCs/>
                <w:i/>
                <w:iCs/>
              </w:rPr>
            </w:pPr>
            <w:r w:rsidRPr="004F2789">
              <w:rPr>
                <w:b/>
                <w:bCs/>
                <w:i/>
                <w:iCs/>
              </w:rPr>
              <w:t> </w:t>
            </w:r>
          </w:p>
        </w:tc>
        <w:tc>
          <w:tcPr>
            <w:tcW w:w="2028" w:type="dxa"/>
          </w:tcPr>
          <w:p w:rsidR="005E517C" w:rsidRPr="004F2789" w:rsidRDefault="005E517C" w:rsidP="009A35B4">
            <w:pPr>
              <w:jc w:val="center"/>
              <w:rPr>
                <w:b/>
                <w:bCs/>
                <w:i/>
                <w:iCs/>
              </w:rPr>
            </w:pPr>
          </w:p>
        </w:tc>
        <w:tc>
          <w:tcPr>
            <w:tcW w:w="1783" w:type="dxa"/>
          </w:tcPr>
          <w:p w:rsidR="005E517C" w:rsidRPr="004F2789" w:rsidRDefault="005E517C" w:rsidP="009A35B4">
            <w:pPr>
              <w:jc w:val="center"/>
              <w:rPr>
                <w:b/>
                <w:bCs/>
                <w:i/>
                <w:iCs/>
              </w:rPr>
            </w:pPr>
          </w:p>
        </w:tc>
        <w:tc>
          <w:tcPr>
            <w:tcW w:w="1866" w:type="dxa"/>
          </w:tcPr>
          <w:p w:rsidR="005E517C" w:rsidRPr="004F2789" w:rsidRDefault="005E517C" w:rsidP="009A35B4">
            <w:pPr>
              <w:jc w:val="center"/>
              <w:rPr>
                <w:b/>
                <w:bCs/>
                <w:i/>
                <w:iCs/>
              </w:rPr>
            </w:pPr>
          </w:p>
        </w:tc>
        <w:tc>
          <w:tcPr>
            <w:tcW w:w="1546" w:type="dxa"/>
          </w:tcPr>
          <w:p w:rsidR="005E517C" w:rsidRPr="004F2789" w:rsidRDefault="005E517C" w:rsidP="009A35B4">
            <w:pPr>
              <w:jc w:val="center"/>
              <w:rPr>
                <w:b/>
                <w:bCs/>
                <w:i/>
                <w:iCs/>
              </w:rPr>
            </w:pPr>
          </w:p>
        </w:tc>
      </w:tr>
      <w:tr w:rsidR="005E517C" w:rsidRPr="004F2789" w:rsidTr="005E517C">
        <w:trPr>
          <w:trHeight w:val="315"/>
          <w:jc w:val="center"/>
        </w:trPr>
        <w:tc>
          <w:tcPr>
            <w:tcW w:w="449" w:type="dxa"/>
            <w:shd w:val="clear" w:color="auto" w:fill="auto"/>
            <w:vAlign w:val="center"/>
          </w:tcPr>
          <w:p w:rsidR="005E517C" w:rsidRPr="004F2789" w:rsidRDefault="005E517C" w:rsidP="009A35B4">
            <w:pPr>
              <w:jc w:val="center"/>
              <w:rPr>
                <w:lang w:val="ru-RU"/>
              </w:rPr>
            </w:pPr>
            <w:r w:rsidRPr="004F2789">
              <w:rPr>
                <w:lang w:val="ru-RU"/>
              </w:rPr>
              <w:t>..</w:t>
            </w:r>
          </w:p>
        </w:tc>
        <w:tc>
          <w:tcPr>
            <w:tcW w:w="4892" w:type="dxa"/>
          </w:tcPr>
          <w:p w:rsidR="005E517C" w:rsidRPr="004F2789" w:rsidRDefault="005E517C" w:rsidP="009A35B4">
            <w:pPr>
              <w:jc w:val="center"/>
              <w:rPr>
                <w:b/>
                <w:bCs/>
                <w:i/>
                <w:iCs/>
              </w:rPr>
            </w:pPr>
          </w:p>
        </w:tc>
        <w:tc>
          <w:tcPr>
            <w:tcW w:w="1617" w:type="dxa"/>
            <w:shd w:val="clear" w:color="auto" w:fill="auto"/>
            <w:vAlign w:val="center"/>
          </w:tcPr>
          <w:p w:rsidR="005E517C" w:rsidRPr="004F2789" w:rsidRDefault="005E517C" w:rsidP="009A35B4">
            <w:pPr>
              <w:jc w:val="center"/>
              <w:rPr>
                <w:b/>
                <w:bCs/>
                <w:i/>
                <w:iCs/>
              </w:rPr>
            </w:pPr>
          </w:p>
        </w:tc>
        <w:tc>
          <w:tcPr>
            <w:tcW w:w="761" w:type="dxa"/>
            <w:shd w:val="clear" w:color="auto" w:fill="auto"/>
            <w:vAlign w:val="center"/>
          </w:tcPr>
          <w:p w:rsidR="005E517C" w:rsidRPr="004F2789" w:rsidRDefault="005E517C" w:rsidP="009A35B4">
            <w:pPr>
              <w:jc w:val="center"/>
              <w:rPr>
                <w:b/>
                <w:bCs/>
                <w:i/>
                <w:iCs/>
              </w:rPr>
            </w:pPr>
          </w:p>
        </w:tc>
        <w:tc>
          <w:tcPr>
            <w:tcW w:w="2028" w:type="dxa"/>
          </w:tcPr>
          <w:p w:rsidR="005E517C" w:rsidRPr="004F2789" w:rsidRDefault="005E517C" w:rsidP="009A35B4">
            <w:pPr>
              <w:jc w:val="center"/>
              <w:rPr>
                <w:b/>
                <w:bCs/>
                <w:i/>
                <w:iCs/>
              </w:rPr>
            </w:pPr>
          </w:p>
        </w:tc>
        <w:tc>
          <w:tcPr>
            <w:tcW w:w="1783" w:type="dxa"/>
          </w:tcPr>
          <w:p w:rsidR="005E517C" w:rsidRPr="004F2789" w:rsidRDefault="005E517C" w:rsidP="009A35B4">
            <w:pPr>
              <w:jc w:val="center"/>
              <w:rPr>
                <w:b/>
                <w:bCs/>
                <w:i/>
                <w:iCs/>
              </w:rPr>
            </w:pPr>
          </w:p>
        </w:tc>
        <w:tc>
          <w:tcPr>
            <w:tcW w:w="1866" w:type="dxa"/>
          </w:tcPr>
          <w:p w:rsidR="005E517C" w:rsidRPr="004F2789" w:rsidRDefault="005E517C" w:rsidP="009A35B4">
            <w:pPr>
              <w:jc w:val="center"/>
              <w:rPr>
                <w:b/>
                <w:bCs/>
                <w:i/>
                <w:iCs/>
              </w:rPr>
            </w:pPr>
          </w:p>
        </w:tc>
        <w:tc>
          <w:tcPr>
            <w:tcW w:w="1546" w:type="dxa"/>
          </w:tcPr>
          <w:p w:rsidR="005E517C" w:rsidRPr="004F2789" w:rsidRDefault="005E517C" w:rsidP="009A35B4">
            <w:pPr>
              <w:jc w:val="center"/>
              <w:rPr>
                <w:b/>
                <w:bCs/>
                <w:i/>
                <w:iCs/>
              </w:rPr>
            </w:pPr>
          </w:p>
        </w:tc>
      </w:tr>
    </w:tbl>
    <w:p w:rsidR="0074167A" w:rsidRPr="005E517C" w:rsidRDefault="0074167A" w:rsidP="0074167A">
      <w:pPr>
        <w:pStyle w:val="BodyText"/>
        <w:ind w:left="3366" w:hanging="2805"/>
        <w:jc w:val="left"/>
        <w:rPr>
          <w:b/>
          <w:bCs/>
        </w:rPr>
      </w:pPr>
    </w:p>
    <w:p w:rsidR="005E517C" w:rsidRPr="005E517C" w:rsidRDefault="005E517C" w:rsidP="005E517C">
      <w:pPr>
        <w:ind w:left="284"/>
        <w:jc w:val="both"/>
        <w:rPr>
          <w:b/>
          <w:bCs/>
          <w:lang w:val="bg-BG"/>
        </w:rPr>
      </w:pPr>
      <w:r w:rsidRPr="005E517C">
        <w:rPr>
          <w:b/>
          <w:bCs/>
          <w:lang w:val="bg-BG"/>
        </w:rPr>
        <w:t>Гаранционни условия:</w:t>
      </w:r>
    </w:p>
    <w:p w:rsidR="005E517C" w:rsidRPr="005E517C" w:rsidRDefault="005E517C" w:rsidP="005E517C">
      <w:pPr>
        <w:numPr>
          <w:ilvl w:val="0"/>
          <w:numId w:val="3"/>
        </w:numPr>
        <w:tabs>
          <w:tab w:val="clear" w:pos="600"/>
          <w:tab w:val="num" w:pos="284"/>
        </w:tabs>
        <w:ind w:left="284" w:firstLine="0"/>
        <w:rPr>
          <w:lang w:val="bg-BG"/>
        </w:rPr>
      </w:pPr>
      <w:r w:rsidRPr="005E517C">
        <w:rPr>
          <w:lang w:val="bg-BG"/>
        </w:rPr>
        <w:t>Гаранционен срок  (по т. 5.3. от проекта на договор) - .............. месеца (</w:t>
      </w:r>
      <w:r w:rsidRPr="005E517C">
        <w:rPr>
          <w:i/>
          <w:lang w:val="bg-BG"/>
        </w:rPr>
        <w:t>не по–малко от 24 месеца</w:t>
      </w:r>
      <w:r w:rsidRPr="005E517C">
        <w:rPr>
          <w:lang w:val="bg-BG"/>
        </w:rPr>
        <w:t>) от датата на доставка.</w:t>
      </w:r>
    </w:p>
    <w:p w:rsidR="005E517C" w:rsidRPr="005E517C" w:rsidRDefault="005E517C" w:rsidP="005E517C">
      <w:pPr>
        <w:numPr>
          <w:ilvl w:val="0"/>
          <w:numId w:val="3"/>
        </w:numPr>
        <w:tabs>
          <w:tab w:val="clear" w:pos="600"/>
          <w:tab w:val="num" w:pos="284"/>
        </w:tabs>
        <w:ind w:left="284" w:firstLine="0"/>
        <w:rPr>
          <w:szCs w:val="22"/>
          <w:lang w:val="bg-BG"/>
        </w:rPr>
      </w:pPr>
      <w:r w:rsidRPr="005E517C">
        <w:rPr>
          <w:lang w:val="bg-BG"/>
        </w:rPr>
        <w:t>Срок за отстраняване на дефектите (по т. 5.4. от проекта на договор) -  ................ дни от датата на писмената рекламация.</w:t>
      </w:r>
    </w:p>
    <w:p w:rsidR="005E517C" w:rsidRPr="005E517C" w:rsidRDefault="005E517C" w:rsidP="005E517C">
      <w:pPr>
        <w:numPr>
          <w:ilvl w:val="0"/>
          <w:numId w:val="3"/>
        </w:numPr>
        <w:tabs>
          <w:tab w:val="clear" w:pos="600"/>
          <w:tab w:val="num" w:pos="284"/>
        </w:tabs>
        <w:ind w:left="284" w:right="-740" w:firstLine="0"/>
        <w:rPr>
          <w:szCs w:val="22"/>
          <w:lang w:val="bg-BG"/>
        </w:rPr>
      </w:pPr>
      <w:r w:rsidRPr="005E517C">
        <w:rPr>
          <w:szCs w:val="22"/>
          <w:lang w:val="bg-BG"/>
        </w:rPr>
        <w:t xml:space="preserve">Срок за </w:t>
      </w:r>
      <w:r w:rsidRPr="005E517C">
        <w:rPr>
          <w:lang w:val="bg-BG"/>
        </w:rPr>
        <w:t>доставка на нови стоки, ако се установи, че дефектът не може да бъде отстранен (по т. 5.5. от проекта на договор) -  ................. дни.</w:t>
      </w:r>
    </w:p>
    <w:p w:rsidR="00A671D7" w:rsidRPr="005E517C"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9D3" w:rsidRDefault="00C249D3">
      <w:r>
        <w:separator/>
      </w:r>
    </w:p>
  </w:endnote>
  <w:endnote w:type="continuationSeparator" w:id="0">
    <w:p w:rsidR="00C249D3" w:rsidRDefault="00C24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D0BF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D0BF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C7E49">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C7E49">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9D3" w:rsidRDefault="00C249D3">
      <w:r>
        <w:separator/>
      </w:r>
    </w:p>
  </w:footnote>
  <w:footnote w:type="continuationSeparator" w:id="0">
    <w:p w:rsidR="00C249D3" w:rsidRDefault="00C24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1676"/>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15DB1"/>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1803"/>
    <w:rsid w:val="002F21E0"/>
    <w:rsid w:val="002F7F13"/>
    <w:rsid w:val="0030074C"/>
    <w:rsid w:val="003041CB"/>
    <w:rsid w:val="00305A66"/>
    <w:rsid w:val="00306601"/>
    <w:rsid w:val="003069DC"/>
    <w:rsid w:val="0031094C"/>
    <w:rsid w:val="00312841"/>
    <w:rsid w:val="00316028"/>
    <w:rsid w:val="00316124"/>
    <w:rsid w:val="00317C16"/>
    <w:rsid w:val="00321E0F"/>
    <w:rsid w:val="00323930"/>
    <w:rsid w:val="00336641"/>
    <w:rsid w:val="003400E5"/>
    <w:rsid w:val="00342318"/>
    <w:rsid w:val="003424EA"/>
    <w:rsid w:val="0034253A"/>
    <w:rsid w:val="003441D5"/>
    <w:rsid w:val="00347FA0"/>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16E1"/>
    <w:rsid w:val="003B64F2"/>
    <w:rsid w:val="003B73AE"/>
    <w:rsid w:val="003C3E21"/>
    <w:rsid w:val="003C5DDF"/>
    <w:rsid w:val="003C6254"/>
    <w:rsid w:val="003C79BB"/>
    <w:rsid w:val="003D23FE"/>
    <w:rsid w:val="003D286A"/>
    <w:rsid w:val="003D6311"/>
    <w:rsid w:val="003E115C"/>
    <w:rsid w:val="003E1FCC"/>
    <w:rsid w:val="003E2D4B"/>
    <w:rsid w:val="003F0DAE"/>
    <w:rsid w:val="003F115B"/>
    <w:rsid w:val="003F18BA"/>
    <w:rsid w:val="00405356"/>
    <w:rsid w:val="0040755A"/>
    <w:rsid w:val="00407D39"/>
    <w:rsid w:val="00411A15"/>
    <w:rsid w:val="004142CC"/>
    <w:rsid w:val="00417191"/>
    <w:rsid w:val="00417D79"/>
    <w:rsid w:val="00420D90"/>
    <w:rsid w:val="00423E5E"/>
    <w:rsid w:val="00424F6C"/>
    <w:rsid w:val="004300CD"/>
    <w:rsid w:val="00434750"/>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2789"/>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4EBF"/>
    <w:rsid w:val="00556378"/>
    <w:rsid w:val="005645D7"/>
    <w:rsid w:val="00565B50"/>
    <w:rsid w:val="00575FCA"/>
    <w:rsid w:val="0058437A"/>
    <w:rsid w:val="00590C48"/>
    <w:rsid w:val="0059148A"/>
    <w:rsid w:val="00597903"/>
    <w:rsid w:val="005A3A74"/>
    <w:rsid w:val="005A7DFB"/>
    <w:rsid w:val="005B1B6D"/>
    <w:rsid w:val="005B1EA1"/>
    <w:rsid w:val="005B3BD4"/>
    <w:rsid w:val="005B66BB"/>
    <w:rsid w:val="005C0C62"/>
    <w:rsid w:val="005C2867"/>
    <w:rsid w:val="005C3427"/>
    <w:rsid w:val="005C6AAC"/>
    <w:rsid w:val="005D0FAB"/>
    <w:rsid w:val="005D1E1D"/>
    <w:rsid w:val="005D6C47"/>
    <w:rsid w:val="005E1BF4"/>
    <w:rsid w:val="005E517C"/>
    <w:rsid w:val="005E7D12"/>
    <w:rsid w:val="005F1142"/>
    <w:rsid w:val="005F2F5C"/>
    <w:rsid w:val="005F5964"/>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6F5547"/>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629"/>
    <w:rsid w:val="00771953"/>
    <w:rsid w:val="00771EA1"/>
    <w:rsid w:val="007720F9"/>
    <w:rsid w:val="007747BA"/>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C271D"/>
    <w:rsid w:val="007D169B"/>
    <w:rsid w:val="007D26B0"/>
    <w:rsid w:val="007D5E92"/>
    <w:rsid w:val="007E2024"/>
    <w:rsid w:val="007E5177"/>
    <w:rsid w:val="007E5D2C"/>
    <w:rsid w:val="007F0ED0"/>
    <w:rsid w:val="007F4267"/>
    <w:rsid w:val="007F56E7"/>
    <w:rsid w:val="008001BB"/>
    <w:rsid w:val="00800FD6"/>
    <w:rsid w:val="00803C81"/>
    <w:rsid w:val="00813EC2"/>
    <w:rsid w:val="008147B1"/>
    <w:rsid w:val="0082052C"/>
    <w:rsid w:val="00821FB5"/>
    <w:rsid w:val="00822BA1"/>
    <w:rsid w:val="00827516"/>
    <w:rsid w:val="0083078C"/>
    <w:rsid w:val="00830951"/>
    <w:rsid w:val="008452FD"/>
    <w:rsid w:val="008531FA"/>
    <w:rsid w:val="00853C90"/>
    <w:rsid w:val="0085746F"/>
    <w:rsid w:val="008608BC"/>
    <w:rsid w:val="00861FF5"/>
    <w:rsid w:val="00862D2B"/>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0B2E"/>
    <w:rsid w:val="00921580"/>
    <w:rsid w:val="0092365C"/>
    <w:rsid w:val="009271C7"/>
    <w:rsid w:val="00930C56"/>
    <w:rsid w:val="0093113A"/>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595"/>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31AC"/>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275"/>
    <w:rsid w:val="00B25544"/>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E6F37"/>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249D3"/>
    <w:rsid w:val="00C3036B"/>
    <w:rsid w:val="00C3090D"/>
    <w:rsid w:val="00C33523"/>
    <w:rsid w:val="00C35825"/>
    <w:rsid w:val="00C4286B"/>
    <w:rsid w:val="00C43387"/>
    <w:rsid w:val="00C52FC1"/>
    <w:rsid w:val="00C54F09"/>
    <w:rsid w:val="00C57024"/>
    <w:rsid w:val="00C6275F"/>
    <w:rsid w:val="00C636B9"/>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330"/>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C7E49"/>
    <w:rsid w:val="00DD0BFC"/>
    <w:rsid w:val="00DD1420"/>
    <w:rsid w:val="00DD2890"/>
    <w:rsid w:val="00DD30E0"/>
    <w:rsid w:val="00DD4BFC"/>
    <w:rsid w:val="00DE0DBB"/>
    <w:rsid w:val="00DE6E91"/>
    <w:rsid w:val="00DE7844"/>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2DAC"/>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53A"/>
    <w:rsid w:val="00F91C55"/>
    <w:rsid w:val="00F936CA"/>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1318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59</cp:revision>
  <cp:lastPrinted>2019-10-17T08:15:00Z</cp:lastPrinted>
  <dcterms:created xsi:type="dcterms:W3CDTF">2016-07-05T05:59:00Z</dcterms:created>
  <dcterms:modified xsi:type="dcterms:W3CDTF">2019-10-17T08:15:00Z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