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0C" w:rsidRPr="00F6162A" w:rsidRDefault="00267C0C" w:rsidP="00267C0C">
      <w:pPr>
        <w:pStyle w:val="Heading4"/>
      </w:pPr>
      <w:bookmarkStart w:id="0" w:name="OLE_LINK1"/>
      <w:bookmarkStart w:id="1" w:name="OLE_LINK2"/>
      <w:r w:rsidRPr="00F6162A">
        <w:t xml:space="preserve">ОБРАЗЕЦ по т. </w:t>
      </w:r>
      <w:r>
        <w:t>2</w:t>
      </w:r>
      <w:r w:rsidRPr="00F6162A">
        <w:t>.1. към офертата</w:t>
      </w:r>
      <w:bookmarkEnd w:id="0"/>
      <w:bookmarkEnd w:id="1"/>
    </w:p>
    <w:p w:rsidR="00267C0C" w:rsidRPr="00F6162A" w:rsidRDefault="00267C0C" w:rsidP="00267C0C">
      <w:pPr>
        <w:pStyle w:val="Title"/>
        <w:rPr>
          <w:sz w:val="32"/>
          <w:szCs w:val="32"/>
        </w:rPr>
      </w:pPr>
      <w:r>
        <w:rPr>
          <w:sz w:val="32"/>
          <w:szCs w:val="32"/>
        </w:rPr>
        <w:t>ТАРИФА ЗА ТАКСИТЕ</w:t>
      </w:r>
    </w:p>
    <w:p w:rsidR="00267C0C" w:rsidRPr="00F6162A" w:rsidRDefault="00267C0C" w:rsidP="00267C0C">
      <w:pPr>
        <w:pStyle w:val="Title"/>
        <w:rPr>
          <w:sz w:val="16"/>
        </w:rPr>
      </w:pPr>
    </w:p>
    <w:p w:rsidR="00267C0C" w:rsidRPr="00F6162A" w:rsidRDefault="00267C0C" w:rsidP="00267C0C">
      <w:pPr>
        <w:pStyle w:val="BodyText"/>
        <w:spacing w:line="360" w:lineRule="auto"/>
        <w:jc w:val="center"/>
      </w:pPr>
      <w:r w:rsidRPr="00F6162A">
        <w:rPr>
          <w:b/>
          <w:bCs/>
        </w:rPr>
        <w:t xml:space="preserve">за изпълнение на обществена поръчка </w:t>
      </w:r>
      <w:r w:rsidRPr="00F6162A">
        <w:t>с предмет:</w:t>
      </w:r>
    </w:p>
    <w:p w:rsidR="00267C0C" w:rsidRPr="00F6162A" w:rsidRDefault="00267C0C" w:rsidP="00267C0C">
      <w:pPr>
        <w:pStyle w:val="BodyText"/>
        <w:spacing w:line="360" w:lineRule="auto"/>
        <w:jc w:val="center"/>
        <w:rPr>
          <w:b/>
          <w:bCs/>
        </w:rPr>
      </w:pPr>
      <w:r w:rsidRPr="00F6162A">
        <w:rPr>
          <w:b/>
          <w:bCs/>
        </w:rPr>
        <w:t xml:space="preserve"> </w:t>
      </w:r>
      <w:r w:rsidRPr="0091446C">
        <w:rPr>
          <w:b/>
          <w:bCs/>
          <w:szCs w:val="24"/>
        </w:rPr>
        <w:t>“</w:t>
      </w:r>
      <w:r w:rsidRPr="00267C0C">
        <w:rPr>
          <w:b/>
          <w:szCs w:val="24"/>
        </w:rPr>
        <w:t>Използване на търговските платформи на организиран борсов пазар за извършване на сделки с електрическа енергия от "АЕЦ Козлодуй" ЕАД</w:t>
      </w:r>
      <w:r w:rsidRPr="0091446C">
        <w:rPr>
          <w:b/>
          <w:bCs/>
          <w:szCs w:val="24"/>
        </w:rPr>
        <w:t>”</w:t>
      </w:r>
    </w:p>
    <w:tbl>
      <w:tblPr>
        <w:tblStyle w:val="TableGrid"/>
        <w:tblW w:w="4919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28"/>
        <w:gridCol w:w="8075"/>
        <w:gridCol w:w="1178"/>
        <w:gridCol w:w="1235"/>
        <w:gridCol w:w="994"/>
        <w:gridCol w:w="1045"/>
        <w:gridCol w:w="1048"/>
        <w:gridCol w:w="1096"/>
      </w:tblGrid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2674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799" w:type="pct"/>
            <w:gridSpan w:val="2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>Сегмент „В рамките на деня”</w:t>
            </w:r>
          </w:p>
        </w:tc>
        <w:tc>
          <w:tcPr>
            <w:tcW w:w="675" w:type="pct"/>
            <w:gridSpan w:val="2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>Сегмент „Ден напред”</w:t>
            </w:r>
          </w:p>
        </w:tc>
        <w:tc>
          <w:tcPr>
            <w:tcW w:w="710" w:type="pct"/>
            <w:gridSpan w:val="2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>Сегмент „ЦПППЕЕПДД</w:t>
            </w: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>№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>Компонент на тарифата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 xml:space="preserve">Тарифа </w:t>
            </w:r>
            <w:r w:rsidRPr="00267C0C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 xml:space="preserve">Тарифа </w:t>
            </w:r>
            <w:r w:rsidRPr="00267C0C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329" w:type="pct"/>
            <w:vAlign w:val="center"/>
          </w:tcPr>
          <w:p w:rsidR="00267C0C" w:rsidRPr="00267C0C" w:rsidRDefault="00267C0C" w:rsidP="008E7E0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 xml:space="preserve">Тарифа </w:t>
            </w:r>
            <w:r w:rsidRPr="00267C0C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346" w:type="pct"/>
            <w:vAlign w:val="center"/>
          </w:tcPr>
          <w:p w:rsidR="00267C0C" w:rsidRPr="00267C0C" w:rsidRDefault="00267C0C" w:rsidP="008E7E0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 xml:space="preserve">Тарифа </w:t>
            </w:r>
            <w:r w:rsidRPr="00267C0C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347" w:type="pct"/>
            <w:vAlign w:val="center"/>
          </w:tcPr>
          <w:p w:rsidR="00267C0C" w:rsidRPr="00267C0C" w:rsidRDefault="00267C0C" w:rsidP="008E7E0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 xml:space="preserve">Тарифа </w:t>
            </w:r>
            <w:r w:rsidRPr="00267C0C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362" w:type="pct"/>
            <w:vAlign w:val="center"/>
          </w:tcPr>
          <w:p w:rsidR="00267C0C" w:rsidRPr="00267C0C" w:rsidRDefault="00267C0C" w:rsidP="008E7E0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67C0C">
              <w:rPr>
                <w:bCs/>
                <w:sz w:val="20"/>
                <w:szCs w:val="20"/>
                <w:lang w:val="bg-BG"/>
              </w:rPr>
              <w:t xml:space="preserve">Тарифа </w:t>
            </w:r>
            <w:r w:rsidRPr="00267C0C">
              <w:rPr>
                <w:bCs/>
                <w:sz w:val="20"/>
                <w:szCs w:val="20"/>
                <w:lang w:val="en-US"/>
              </w:rPr>
              <w:t>II</w:t>
            </w:r>
          </w:p>
        </w:tc>
      </w:tr>
      <w:tr w:rsidR="00267C0C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Такса за участие</w:t>
            </w:r>
          </w:p>
        </w:tc>
        <w:tc>
          <w:tcPr>
            <w:tcW w:w="2184" w:type="pct"/>
            <w:gridSpan w:val="6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2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bg-BG"/>
              </w:rPr>
              <w:t>Годишна такса (</w:t>
            </w:r>
            <w:r>
              <w:rPr>
                <w:bCs/>
                <w:sz w:val="20"/>
                <w:szCs w:val="20"/>
                <w:lang w:val="en-US"/>
              </w:rPr>
              <w:t>BGN/annum)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Такса оборот </w:t>
            </w:r>
            <w:r>
              <w:rPr>
                <w:bCs/>
                <w:sz w:val="20"/>
                <w:szCs w:val="20"/>
                <w:lang w:val="en-US"/>
              </w:rPr>
              <w:t>(BGN/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MWh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Такса </w:t>
            </w:r>
            <w:proofErr w:type="spellStart"/>
            <w:r>
              <w:rPr>
                <w:bCs/>
                <w:sz w:val="20"/>
                <w:szCs w:val="20"/>
                <w:lang w:val="bg-BG"/>
              </w:rPr>
              <w:t>сетълмент</w:t>
            </w:r>
            <w:proofErr w:type="spellEnd"/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(BGN/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MWh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3A7B3A" w:rsidRPr="00267C0C" w:rsidTr="005A1BDF">
        <w:tc>
          <w:tcPr>
            <w:tcW w:w="142" w:type="pct"/>
            <w:vAlign w:val="center"/>
          </w:tcPr>
          <w:p w:rsidR="003A7B3A" w:rsidRPr="00267C0C" w:rsidRDefault="003A7B3A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674" w:type="pct"/>
            <w:vAlign w:val="center"/>
          </w:tcPr>
          <w:p w:rsidR="003A7B3A" w:rsidRPr="00267C0C" w:rsidRDefault="003A7B3A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Минимално обезпечение </w:t>
            </w:r>
            <w:r>
              <w:rPr>
                <w:bCs/>
                <w:sz w:val="20"/>
                <w:szCs w:val="20"/>
                <w:lang w:val="en-US"/>
              </w:rPr>
              <w:t>(BGN)</w:t>
            </w:r>
          </w:p>
        </w:tc>
        <w:tc>
          <w:tcPr>
            <w:tcW w:w="1474" w:type="pct"/>
            <w:gridSpan w:val="4"/>
            <w:vAlign w:val="center"/>
          </w:tcPr>
          <w:p w:rsidR="003A7B3A" w:rsidRPr="00267C0C" w:rsidRDefault="003A7B3A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710" w:type="pct"/>
            <w:gridSpan w:val="2"/>
            <w:vAlign w:val="center"/>
          </w:tcPr>
          <w:p w:rsidR="003A7B3A" w:rsidRPr="00267C0C" w:rsidRDefault="003A7B3A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Такса обучение (тест и сертификат вкл.)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Допълнителен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DigiPass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(BGN)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Допълнително портфолио/потребител (</w:t>
            </w:r>
            <w:r>
              <w:rPr>
                <w:bCs/>
                <w:sz w:val="20"/>
                <w:szCs w:val="20"/>
                <w:lang w:val="en-US"/>
              </w:rPr>
              <w:t>BGN/annum)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Такса иницииране на търг (</w:t>
            </w:r>
            <w:r>
              <w:rPr>
                <w:bCs/>
                <w:sz w:val="20"/>
                <w:szCs w:val="20"/>
                <w:lang w:val="en-US"/>
              </w:rPr>
              <w:t>BGN)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Такса за анулиране на сделка (</w:t>
            </w:r>
            <w:r>
              <w:rPr>
                <w:bCs/>
                <w:sz w:val="20"/>
                <w:szCs w:val="20"/>
                <w:lang w:val="en-US"/>
              </w:rPr>
              <w:t>BGN)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Такса докладване по </w:t>
            </w:r>
            <w:r>
              <w:rPr>
                <w:bCs/>
                <w:sz w:val="20"/>
                <w:szCs w:val="20"/>
                <w:lang w:val="en-US"/>
              </w:rPr>
              <w:t>REMIT (BGN/month)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Такса предоставяне на данни от криви на търсене и предлагане за участници на борсовия пазар (</w:t>
            </w:r>
            <w:r>
              <w:rPr>
                <w:bCs/>
                <w:sz w:val="20"/>
                <w:szCs w:val="20"/>
                <w:lang w:val="en-US"/>
              </w:rPr>
              <w:t>BGN/annum)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  <w:tr w:rsidR="005A1BDF" w:rsidRPr="00267C0C" w:rsidTr="005A1BDF">
        <w:tc>
          <w:tcPr>
            <w:tcW w:w="14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2674" w:type="pct"/>
            <w:vAlign w:val="center"/>
          </w:tcPr>
          <w:p w:rsidR="00267C0C" w:rsidRPr="00267C0C" w:rsidRDefault="00267C0C" w:rsidP="003A7B3A">
            <w:pPr>
              <w:jc w:val="right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 xml:space="preserve">Такса предоставяне на данни от криви на търсене и предлагане за </w:t>
            </w:r>
            <w:r w:rsidR="003A7B3A">
              <w:rPr>
                <w:bCs/>
                <w:sz w:val="20"/>
                <w:szCs w:val="20"/>
                <w:lang w:val="bg-BG"/>
              </w:rPr>
              <w:t>компании, които не са регистрирани на</w:t>
            </w:r>
            <w:r>
              <w:rPr>
                <w:bCs/>
                <w:sz w:val="20"/>
                <w:szCs w:val="20"/>
                <w:lang w:val="bg-BG"/>
              </w:rPr>
              <w:t xml:space="preserve"> борсовия пазар (</w:t>
            </w:r>
            <w:r>
              <w:rPr>
                <w:bCs/>
                <w:sz w:val="20"/>
                <w:szCs w:val="20"/>
                <w:lang w:val="en-US"/>
              </w:rPr>
              <w:t>BGN/annum)</w:t>
            </w:r>
          </w:p>
        </w:tc>
        <w:tc>
          <w:tcPr>
            <w:tcW w:w="390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29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6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47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62" w:type="pct"/>
            <w:vAlign w:val="center"/>
          </w:tcPr>
          <w:p w:rsidR="00267C0C" w:rsidRPr="00267C0C" w:rsidRDefault="00267C0C" w:rsidP="00267C0C">
            <w:pPr>
              <w:jc w:val="center"/>
              <w:rPr>
                <w:bCs/>
                <w:sz w:val="20"/>
                <w:szCs w:val="20"/>
                <w:lang w:val="bg-BG"/>
              </w:rPr>
            </w:pPr>
          </w:p>
        </w:tc>
      </w:tr>
    </w:tbl>
    <w:p w:rsidR="00267C0C" w:rsidRPr="0064579B" w:rsidRDefault="003A7B3A" w:rsidP="00267C0C">
      <w:pPr>
        <w:spacing w:line="360" w:lineRule="auto"/>
        <w:rPr>
          <w:b/>
          <w:bCs/>
          <w:sz w:val="20"/>
          <w:szCs w:val="20"/>
          <w:lang w:val="bg-BG"/>
        </w:rPr>
      </w:pPr>
      <w:r w:rsidRPr="0064579B">
        <w:rPr>
          <w:b/>
          <w:bCs/>
          <w:sz w:val="20"/>
          <w:szCs w:val="20"/>
          <w:lang w:val="bg-BG"/>
        </w:rPr>
        <w:t>Всички посочени цени са без ДДС.</w:t>
      </w:r>
    </w:p>
    <w:p w:rsidR="00814145" w:rsidRPr="008201D1" w:rsidRDefault="00814145" w:rsidP="007A7C5A">
      <w:pPr>
        <w:rPr>
          <w:sz w:val="20"/>
          <w:szCs w:val="20"/>
          <w:lang w:eastAsia="bg-BG"/>
        </w:rPr>
      </w:pPr>
      <w:r w:rsidRPr="008201D1">
        <w:rPr>
          <w:sz w:val="20"/>
          <w:szCs w:val="20"/>
          <w:lang w:eastAsia="bg-BG"/>
        </w:rPr>
        <w:t>1. 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за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участие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еднократна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участници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регистрация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борсовия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. </w:t>
      </w:r>
      <w:proofErr w:type="spellStart"/>
      <w:proofErr w:type="gramStart"/>
      <w:r w:rsidRPr="008201D1">
        <w:rPr>
          <w:sz w:val="20"/>
          <w:szCs w:val="20"/>
          <w:lang w:eastAsia="bg-BG"/>
        </w:rPr>
        <w:t>Тя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пет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работни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датата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подписване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договора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участие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който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търогвският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участник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ще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стартира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участието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борсовия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, и е </w:t>
      </w:r>
      <w:proofErr w:type="spellStart"/>
      <w:r w:rsidRPr="008201D1">
        <w:rPr>
          <w:sz w:val="20"/>
          <w:szCs w:val="20"/>
          <w:lang w:eastAsia="bg-BG"/>
        </w:rPr>
        <w:t>обща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всички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администрирани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БНЕБ ЕАД.</w:t>
      </w:r>
      <w:proofErr w:type="gramEnd"/>
      <w:r w:rsidRPr="008201D1">
        <w:rPr>
          <w:sz w:val="20"/>
          <w:szCs w:val="20"/>
          <w:lang w:eastAsia="bg-BG"/>
        </w:rPr>
        <w:br/>
        <w:t>2. 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Годишна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ежегодно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участници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регистрирани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участници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които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вече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регистрирани</w:t>
      </w:r>
      <w:proofErr w:type="spellEnd"/>
      <w:r w:rsidRPr="008201D1">
        <w:rPr>
          <w:sz w:val="20"/>
          <w:szCs w:val="20"/>
          <w:lang w:eastAsia="bg-BG"/>
        </w:rPr>
        <w:t xml:space="preserve"> и </w:t>
      </w:r>
      <w:proofErr w:type="spellStart"/>
      <w:r w:rsidRPr="008201D1">
        <w:rPr>
          <w:sz w:val="20"/>
          <w:szCs w:val="20"/>
          <w:lang w:eastAsia="bg-BG"/>
        </w:rPr>
        <w:t>търгуват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някой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сегментите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администрирани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БНЕБ ЕАД, </w:t>
      </w:r>
      <w:proofErr w:type="spellStart"/>
      <w:r w:rsidRPr="008201D1">
        <w:rPr>
          <w:sz w:val="20"/>
          <w:szCs w:val="20"/>
          <w:lang w:eastAsia="bg-BG"/>
        </w:rPr>
        <w:t>годишната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таксата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фактурира</w:t>
      </w:r>
      <w:proofErr w:type="spellEnd"/>
      <w:r w:rsidRPr="008201D1">
        <w:rPr>
          <w:sz w:val="20"/>
          <w:szCs w:val="20"/>
          <w:lang w:eastAsia="bg-BG"/>
        </w:rPr>
        <w:t xml:space="preserve"> в </w:t>
      </w:r>
      <w:proofErr w:type="spellStart"/>
      <w:r w:rsidRPr="008201D1">
        <w:rPr>
          <w:sz w:val="20"/>
          <w:szCs w:val="20"/>
          <w:lang w:eastAsia="bg-BG"/>
        </w:rPr>
        <w:t>началото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всяка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календарна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година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</w:t>
      </w:r>
      <w:proofErr w:type="spellEnd"/>
      <w:r w:rsidRPr="008201D1">
        <w:rPr>
          <w:sz w:val="20"/>
          <w:szCs w:val="20"/>
          <w:lang w:eastAsia="bg-BG"/>
        </w:rPr>
        <w:t xml:space="preserve"> 20 </w:t>
      </w:r>
      <w:proofErr w:type="spellStart"/>
      <w:r w:rsidRPr="008201D1">
        <w:rPr>
          <w:sz w:val="20"/>
          <w:szCs w:val="20"/>
          <w:lang w:eastAsia="bg-BG"/>
        </w:rPr>
        <w:t>число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месец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януари</w:t>
      </w:r>
      <w:proofErr w:type="spellEnd"/>
      <w:r w:rsidRPr="008201D1">
        <w:rPr>
          <w:sz w:val="20"/>
          <w:szCs w:val="20"/>
          <w:lang w:eastAsia="bg-BG"/>
        </w:rPr>
        <w:t xml:space="preserve"> и е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</w:t>
      </w:r>
      <w:proofErr w:type="spellEnd"/>
      <w:r w:rsidRPr="008201D1">
        <w:rPr>
          <w:sz w:val="20"/>
          <w:szCs w:val="20"/>
          <w:lang w:eastAsia="bg-BG"/>
        </w:rPr>
        <w:t xml:space="preserve"> 31 </w:t>
      </w:r>
      <w:proofErr w:type="spellStart"/>
      <w:r w:rsidRPr="008201D1">
        <w:rPr>
          <w:sz w:val="20"/>
          <w:szCs w:val="20"/>
          <w:lang w:eastAsia="bg-BG"/>
        </w:rPr>
        <w:t>януари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година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</w:r>
      <w:proofErr w:type="spellStart"/>
      <w:proofErr w:type="gram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новорегистрирани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участници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избрали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Тарифа</w:t>
      </w:r>
      <w:proofErr w:type="spellEnd"/>
      <w:r w:rsidRPr="008201D1">
        <w:rPr>
          <w:sz w:val="20"/>
          <w:szCs w:val="20"/>
          <w:lang w:eastAsia="bg-BG"/>
        </w:rPr>
        <w:t xml:space="preserve"> I, </w:t>
      </w:r>
      <w:proofErr w:type="spellStart"/>
      <w:r w:rsidRPr="008201D1">
        <w:rPr>
          <w:sz w:val="20"/>
          <w:szCs w:val="20"/>
          <w:lang w:eastAsia="bg-BG"/>
        </w:rPr>
        <w:t>или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преминаване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Тарифа</w:t>
      </w:r>
      <w:proofErr w:type="spellEnd"/>
      <w:r w:rsidRPr="008201D1">
        <w:rPr>
          <w:sz w:val="20"/>
          <w:szCs w:val="20"/>
          <w:lang w:eastAsia="bg-BG"/>
        </w:rPr>
        <w:t xml:space="preserve"> II </w:t>
      </w:r>
      <w:proofErr w:type="spellStart"/>
      <w:r w:rsidRPr="008201D1">
        <w:rPr>
          <w:sz w:val="20"/>
          <w:szCs w:val="20"/>
          <w:lang w:eastAsia="bg-BG"/>
        </w:rPr>
        <w:t>към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Тарифа</w:t>
      </w:r>
      <w:proofErr w:type="spellEnd"/>
      <w:r w:rsidRPr="008201D1">
        <w:rPr>
          <w:sz w:val="20"/>
          <w:szCs w:val="20"/>
          <w:lang w:eastAsia="bg-BG"/>
        </w:rPr>
        <w:t xml:space="preserve"> I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налага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годишна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такса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пропорционална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остатъка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годината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като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начален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момент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приема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месецът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регистрация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или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моментът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подаване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заявление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смяна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тарифа</w:t>
      </w:r>
      <w:proofErr w:type="spellEnd"/>
      <w:r w:rsidRPr="008201D1">
        <w:rPr>
          <w:sz w:val="20"/>
          <w:szCs w:val="20"/>
          <w:lang w:eastAsia="bg-BG"/>
        </w:rPr>
        <w:t>.</w:t>
      </w:r>
      <w:proofErr w:type="gramEnd"/>
      <w:r w:rsidRPr="008201D1">
        <w:rPr>
          <w:sz w:val="20"/>
          <w:szCs w:val="20"/>
          <w:lang w:eastAsia="bg-BG"/>
        </w:rPr>
        <w:t xml:space="preserve"> </w:t>
      </w:r>
      <w:proofErr w:type="spellStart"/>
      <w:proofErr w:type="gramStart"/>
      <w:r w:rsidRPr="008201D1">
        <w:rPr>
          <w:sz w:val="20"/>
          <w:szCs w:val="20"/>
          <w:lang w:eastAsia="bg-BG"/>
        </w:rPr>
        <w:t>Годишната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такса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възстановява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участник</w:t>
      </w:r>
      <w:proofErr w:type="spellEnd"/>
      <w:r w:rsidRPr="008201D1">
        <w:rPr>
          <w:sz w:val="20"/>
          <w:szCs w:val="20"/>
          <w:lang w:eastAsia="bg-BG"/>
        </w:rPr>
        <w:t xml:space="preserve">, в </w:t>
      </w:r>
      <w:proofErr w:type="spellStart"/>
      <w:r w:rsidRPr="008201D1">
        <w:rPr>
          <w:sz w:val="20"/>
          <w:szCs w:val="20"/>
          <w:lang w:eastAsia="bg-BG"/>
        </w:rPr>
        <w:t>случай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прекратяване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членството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или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отстраняването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му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борсовия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преди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изтичането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календарната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година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както</w:t>
      </w:r>
      <w:proofErr w:type="spellEnd"/>
      <w:r w:rsidRPr="008201D1">
        <w:rPr>
          <w:sz w:val="20"/>
          <w:szCs w:val="20"/>
          <w:lang w:eastAsia="bg-BG"/>
        </w:rPr>
        <w:t xml:space="preserve"> и </w:t>
      </w:r>
      <w:proofErr w:type="spellStart"/>
      <w:r w:rsidRPr="008201D1">
        <w:rPr>
          <w:sz w:val="20"/>
          <w:szCs w:val="20"/>
          <w:lang w:eastAsia="bg-BG"/>
        </w:rPr>
        <w:t>при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преминаване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Тарифа</w:t>
      </w:r>
      <w:proofErr w:type="spellEnd"/>
      <w:r w:rsidRPr="008201D1">
        <w:rPr>
          <w:sz w:val="20"/>
          <w:szCs w:val="20"/>
          <w:lang w:eastAsia="bg-BG"/>
        </w:rPr>
        <w:t xml:space="preserve"> I </w:t>
      </w:r>
      <w:proofErr w:type="spellStart"/>
      <w:r w:rsidRPr="008201D1">
        <w:rPr>
          <w:sz w:val="20"/>
          <w:szCs w:val="20"/>
          <w:lang w:eastAsia="bg-BG"/>
        </w:rPr>
        <w:t>към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Тарифа</w:t>
      </w:r>
      <w:proofErr w:type="spellEnd"/>
      <w:r w:rsidRPr="008201D1">
        <w:rPr>
          <w:sz w:val="20"/>
          <w:szCs w:val="20"/>
          <w:lang w:eastAsia="bg-BG"/>
        </w:rPr>
        <w:t xml:space="preserve"> II.</w:t>
      </w:r>
      <w:proofErr w:type="gramEnd"/>
      <w:r w:rsidRPr="008201D1">
        <w:rPr>
          <w:sz w:val="20"/>
          <w:szCs w:val="20"/>
          <w:lang w:eastAsia="bg-BG"/>
        </w:rPr>
        <w:br/>
        <w:t>3. 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оборот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върху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търгуваното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количество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електрическа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енергия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администриран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БНЕБ ЕАД.</w:t>
      </w:r>
      <w:r w:rsidRPr="008201D1">
        <w:rPr>
          <w:sz w:val="20"/>
          <w:szCs w:val="20"/>
          <w:lang w:eastAsia="bg-BG"/>
        </w:rPr>
        <w:br/>
        <w:t xml:space="preserve">- 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</w:t>
      </w:r>
      <w:proofErr w:type="spellEnd"/>
      <w:r w:rsidRPr="008201D1">
        <w:rPr>
          <w:sz w:val="20"/>
          <w:szCs w:val="20"/>
          <w:lang w:eastAsia="bg-BG"/>
        </w:rPr>
        <w:t xml:space="preserve"> „</w:t>
      </w:r>
      <w:proofErr w:type="spellStart"/>
      <w:r w:rsidRPr="008201D1">
        <w:rPr>
          <w:sz w:val="20"/>
          <w:szCs w:val="20"/>
          <w:lang w:eastAsia="bg-BG"/>
        </w:rPr>
        <w:t>Ден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напред</w:t>
      </w:r>
      <w:proofErr w:type="spellEnd"/>
      <w:proofErr w:type="gramStart"/>
      <w:r w:rsidRPr="008201D1">
        <w:rPr>
          <w:sz w:val="20"/>
          <w:szCs w:val="20"/>
          <w:lang w:eastAsia="bg-BG"/>
        </w:rPr>
        <w:t>“ и</w:t>
      </w:r>
      <w:proofErr w:type="gramEnd"/>
      <w:r w:rsidRPr="008201D1">
        <w:rPr>
          <w:sz w:val="20"/>
          <w:szCs w:val="20"/>
          <w:lang w:eastAsia="bg-BG"/>
        </w:rPr>
        <w:t xml:space="preserve"> „В </w:t>
      </w:r>
      <w:proofErr w:type="spellStart"/>
      <w:r w:rsidRPr="008201D1">
        <w:rPr>
          <w:sz w:val="20"/>
          <w:szCs w:val="20"/>
          <w:lang w:eastAsia="bg-BG"/>
        </w:rPr>
        <w:t>рамките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деня</w:t>
      </w:r>
      <w:proofErr w:type="spellEnd"/>
      <w:r w:rsidRPr="008201D1">
        <w:rPr>
          <w:sz w:val="20"/>
          <w:szCs w:val="20"/>
          <w:lang w:eastAsia="bg-BG"/>
        </w:rPr>
        <w:t xml:space="preserve">“ </w:t>
      </w:r>
      <w:proofErr w:type="spellStart"/>
      <w:r w:rsidRPr="008201D1">
        <w:rPr>
          <w:sz w:val="20"/>
          <w:szCs w:val="20"/>
          <w:lang w:eastAsia="bg-BG"/>
        </w:rPr>
        <w:t>сумата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фактурира</w:t>
      </w:r>
      <w:proofErr w:type="spellEnd"/>
      <w:r w:rsidRPr="008201D1">
        <w:rPr>
          <w:sz w:val="20"/>
          <w:szCs w:val="20"/>
          <w:lang w:eastAsia="bg-BG"/>
        </w:rPr>
        <w:t xml:space="preserve"> и </w:t>
      </w:r>
      <w:proofErr w:type="spellStart"/>
      <w:r w:rsidRPr="008201D1">
        <w:rPr>
          <w:sz w:val="20"/>
          <w:szCs w:val="20"/>
          <w:lang w:eastAsia="bg-BG"/>
        </w:rPr>
        <w:t>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дневна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база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  <w:t xml:space="preserve">- 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 „</w:t>
      </w:r>
      <w:proofErr w:type="spellStart"/>
      <w:r w:rsidRPr="008201D1">
        <w:rPr>
          <w:sz w:val="20"/>
          <w:szCs w:val="20"/>
          <w:lang w:eastAsia="bg-BG"/>
        </w:rPr>
        <w:t>Централизиран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покупко-продажба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електрическа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енергия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посредством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двустранни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договори</w:t>
      </w:r>
      <w:proofErr w:type="spellEnd"/>
      <w:r w:rsidRPr="008201D1">
        <w:rPr>
          <w:sz w:val="20"/>
          <w:szCs w:val="20"/>
          <w:lang w:eastAsia="bg-BG"/>
        </w:rPr>
        <w:t xml:space="preserve">“ </w:t>
      </w:r>
      <w:proofErr w:type="spellStart"/>
      <w:r w:rsidRPr="008201D1">
        <w:rPr>
          <w:sz w:val="20"/>
          <w:szCs w:val="20"/>
          <w:lang w:eastAsia="bg-BG"/>
        </w:rPr>
        <w:t>сумата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фактурира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два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пъти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месечно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16то и 30то </w:t>
      </w:r>
      <w:proofErr w:type="spellStart"/>
      <w:r w:rsidRPr="008201D1">
        <w:rPr>
          <w:sz w:val="20"/>
          <w:szCs w:val="20"/>
          <w:lang w:eastAsia="bg-BG"/>
        </w:rPr>
        <w:lastRenderedPageBreak/>
        <w:t>число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месеца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или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първия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работен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ден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следващ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дати</w:t>
      </w:r>
      <w:proofErr w:type="spellEnd"/>
      <w:r w:rsidRPr="008201D1">
        <w:rPr>
          <w:sz w:val="20"/>
          <w:szCs w:val="20"/>
          <w:lang w:eastAsia="bg-BG"/>
        </w:rPr>
        <w:t xml:space="preserve">, в </w:t>
      </w:r>
      <w:proofErr w:type="spellStart"/>
      <w:r w:rsidRPr="008201D1">
        <w:rPr>
          <w:sz w:val="20"/>
          <w:szCs w:val="20"/>
          <w:lang w:eastAsia="bg-BG"/>
        </w:rPr>
        <w:t>случай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че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някоя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датите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почивен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ден</w:t>
      </w:r>
      <w:proofErr w:type="spellEnd"/>
      <w:r w:rsidRPr="008201D1">
        <w:rPr>
          <w:sz w:val="20"/>
          <w:szCs w:val="20"/>
          <w:lang w:eastAsia="bg-BG"/>
        </w:rPr>
        <w:t xml:space="preserve">. </w:t>
      </w:r>
      <w:proofErr w:type="spellStart"/>
      <w:proofErr w:type="gramStart"/>
      <w:r w:rsidRPr="008201D1">
        <w:rPr>
          <w:sz w:val="20"/>
          <w:szCs w:val="20"/>
          <w:lang w:eastAsia="bg-BG"/>
        </w:rPr>
        <w:t>Плащането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издадените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фактури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дължимо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</w:t>
      </w:r>
      <w:proofErr w:type="spellEnd"/>
      <w:r w:rsidRPr="008201D1">
        <w:rPr>
          <w:sz w:val="20"/>
          <w:szCs w:val="20"/>
          <w:lang w:eastAsia="bg-BG"/>
        </w:rPr>
        <w:t xml:space="preserve"> 5 </w:t>
      </w:r>
      <w:proofErr w:type="spellStart"/>
      <w:r w:rsidRPr="008201D1">
        <w:rPr>
          <w:sz w:val="20"/>
          <w:szCs w:val="20"/>
          <w:lang w:eastAsia="bg-BG"/>
        </w:rPr>
        <w:t>работни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след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датата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издаване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фактурата</w:t>
      </w:r>
      <w:proofErr w:type="spellEnd"/>
      <w:r w:rsidRPr="008201D1">
        <w:rPr>
          <w:sz w:val="20"/>
          <w:szCs w:val="20"/>
          <w:lang w:eastAsia="bg-BG"/>
        </w:rPr>
        <w:t>.</w:t>
      </w:r>
      <w:proofErr w:type="gramEnd"/>
      <w:r w:rsidRPr="008201D1">
        <w:rPr>
          <w:sz w:val="20"/>
          <w:szCs w:val="20"/>
          <w:lang w:eastAsia="bg-BG"/>
        </w:rPr>
        <w:br/>
        <w:t>4. 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сетълмент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върху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търгуваното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количество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електрическа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енергия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администриран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БНЕБ ЕАД.</w:t>
      </w:r>
      <w:r w:rsidRPr="008201D1">
        <w:rPr>
          <w:sz w:val="20"/>
          <w:szCs w:val="20"/>
          <w:lang w:eastAsia="bg-BG"/>
        </w:rPr>
        <w:br/>
        <w:t xml:space="preserve">- 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</w:t>
      </w:r>
      <w:proofErr w:type="spellEnd"/>
      <w:r w:rsidRPr="008201D1">
        <w:rPr>
          <w:sz w:val="20"/>
          <w:szCs w:val="20"/>
          <w:lang w:eastAsia="bg-BG"/>
        </w:rPr>
        <w:t xml:space="preserve"> „</w:t>
      </w:r>
      <w:proofErr w:type="spellStart"/>
      <w:r w:rsidRPr="008201D1">
        <w:rPr>
          <w:sz w:val="20"/>
          <w:szCs w:val="20"/>
          <w:lang w:eastAsia="bg-BG"/>
        </w:rPr>
        <w:t>Ден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напред</w:t>
      </w:r>
      <w:proofErr w:type="spellEnd"/>
      <w:proofErr w:type="gramStart"/>
      <w:r w:rsidRPr="008201D1">
        <w:rPr>
          <w:sz w:val="20"/>
          <w:szCs w:val="20"/>
          <w:lang w:eastAsia="bg-BG"/>
        </w:rPr>
        <w:t>“ и</w:t>
      </w:r>
      <w:proofErr w:type="gramEnd"/>
      <w:r w:rsidRPr="008201D1">
        <w:rPr>
          <w:sz w:val="20"/>
          <w:szCs w:val="20"/>
          <w:lang w:eastAsia="bg-BG"/>
        </w:rPr>
        <w:t xml:space="preserve"> „В </w:t>
      </w:r>
      <w:proofErr w:type="spellStart"/>
      <w:r w:rsidRPr="008201D1">
        <w:rPr>
          <w:sz w:val="20"/>
          <w:szCs w:val="20"/>
          <w:lang w:eastAsia="bg-BG"/>
        </w:rPr>
        <w:t>рамките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деня</w:t>
      </w:r>
      <w:proofErr w:type="spellEnd"/>
      <w:r w:rsidRPr="008201D1">
        <w:rPr>
          <w:sz w:val="20"/>
          <w:szCs w:val="20"/>
          <w:lang w:eastAsia="bg-BG"/>
        </w:rPr>
        <w:t xml:space="preserve">“ </w:t>
      </w:r>
      <w:proofErr w:type="spellStart"/>
      <w:r w:rsidRPr="008201D1">
        <w:rPr>
          <w:sz w:val="20"/>
          <w:szCs w:val="20"/>
          <w:lang w:eastAsia="bg-BG"/>
        </w:rPr>
        <w:t>сумата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фактурира</w:t>
      </w:r>
      <w:proofErr w:type="spellEnd"/>
      <w:r w:rsidRPr="008201D1">
        <w:rPr>
          <w:sz w:val="20"/>
          <w:szCs w:val="20"/>
          <w:lang w:eastAsia="bg-BG"/>
        </w:rPr>
        <w:t xml:space="preserve"> и </w:t>
      </w:r>
      <w:proofErr w:type="spellStart"/>
      <w:r w:rsidRPr="008201D1">
        <w:rPr>
          <w:sz w:val="20"/>
          <w:szCs w:val="20"/>
          <w:lang w:eastAsia="bg-BG"/>
        </w:rPr>
        <w:t>заплаща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заедно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със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сумата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Такса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оборот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дневна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база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  <w:t xml:space="preserve">- 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 „</w:t>
      </w:r>
      <w:proofErr w:type="spellStart"/>
      <w:r w:rsidRPr="008201D1">
        <w:rPr>
          <w:sz w:val="20"/>
          <w:szCs w:val="20"/>
          <w:lang w:eastAsia="bg-BG"/>
        </w:rPr>
        <w:t>Централизиран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покупко-продажба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електрическа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енергия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посредством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двустранни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договори</w:t>
      </w:r>
      <w:proofErr w:type="spellEnd"/>
      <w:proofErr w:type="gramStart"/>
      <w:r w:rsidRPr="008201D1">
        <w:rPr>
          <w:sz w:val="20"/>
          <w:szCs w:val="20"/>
          <w:lang w:eastAsia="bg-BG"/>
        </w:rPr>
        <w:t xml:space="preserve">“ </w:t>
      </w:r>
      <w:proofErr w:type="spellStart"/>
      <w:r w:rsidRPr="008201D1">
        <w:rPr>
          <w:sz w:val="20"/>
          <w:szCs w:val="20"/>
          <w:lang w:eastAsia="bg-BG"/>
        </w:rPr>
        <w:t>сумата</w:t>
      </w:r>
      <w:proofErr w:type="spellEnd"/>
      <w:proofErr w:type="gram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фактурира</w:t>
      </w:r>
      <w:proofErr w:type="spellEnd"/>
      <w:r w:rsidRPr="008201D1">
        <w:rPr>
          <w:sz w:val="20"/>
          <w:szCs w:val="20"/>
          <w:lang w:eastAsia="bg-BG"/>
        </w:rPr>
        <w:t xml:space="preserve"> и </w:t>
      </w:r>
      <w:proofErr w:type="spellStart"/>
      <w:r w:rsidRPr="008201D1">
        <w:rPr>
          <w:sz w:val="20"/>
          <w:szCs w:val="20"/>
          <w:lang w:eastAsia="bg-BG"/>
        </w:rPr>
        <w:t>заплаща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заедно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със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сумата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Такса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оборот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  <w:t>5. 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Минимално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обезпечение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дължи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всички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участници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членове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борсовия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всеки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пазарните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администрирани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БНЕБ ЕАД в </w:t>
      </w:r>
      <w:proofErr w:type="spellStart"/>
      <w:r w:rsidRPr="008201D1">
        <w:rPr>
          <w:sz w:val="20"/>
          <w:szCs w:val="20"/>
          <w:lang w:eastAsia="bg-BG"/>
        </w:rPr>
        <w:t>съответствие</w:t>
      </w:r>
      <w:proofErr w:type="spellEnd"/>
      <w:r w:rsidRPr="008201D1">
        <w:rPr>
          <w:sz w:val="20"/>
          <w:szCs w:val="20"/>
          <w:lang w:eastAsia="bg-BG"/>
        </w:rPr>
        <w:t xml:space="preserve"> с </w:t>
      </w:r>
      <w:proofErr w:type="spellStart"/>
      <w:r w:rsidRPr="008201D1">
        <w:rPr>
          <w:sz w:val="20"/>
          <w:szCs w:val="20"/>
          <w:lang w:eastAsia="bg-BG"/>
        </w:rPr>
        <w:t>относимите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Правила</w:t>
      </w:r>
      <w:proofErr w:type="spellEnd"/>
      <w:r w:rsidRPr="008201D1">
        <w:rPr>
          <w:sz w:val="20"/>
          <w:szCs w:val="20"/>
          <w:lang w:eastAsia="bg-BG"/>
        </w:rPr>
        <w:t xml:space="preserve">.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r w:rsidRPr="0064579B">
        <w:rPr>
          <w:b/>
          <w:bCs/>
          <w:sz w:val="20"/>
          <w:szCs w:val="20"/>
          <w:lang w:eastAsia="bg-BG"/>
        </w:rPr>
        <w:t>„</w:t>
      </w:r>
      <w:proofErr w:type="spellStart"/>
      <w:r w:rsidRPr="0064579B">
        <w:rPr>
          <w:b/>
          <w:bCs/>
          <w:sz w:val="20"/>
          <w:szCs w:val="20"/>
          <w:lang w:eastAsia="bg-BG"/>
        </w:rPr>
        <w:t>Ден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 </w:t>
      </w:r>
      <w:proofErr w:type="spellStart"/>
      <w:r w:rsidRPr="0064579B">
        <w:rPr>
          <w:b/>
          <w:bCs/>
          <w:sz w:val="20"/>
          <w:szCs w:val="20"/>
          <w:lang w:eastAsia="bg-BG"/>
        </w:rPr>
        <w:t>напред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“ и „В </w:t>
      </w:r>
      <w:proofErr w:type="spellStart"/>
      <w:r w:rsidRPr="0064579B">
        <w:rPr>
          <w:b/>
          <w:bCs/>
          <w:sz w:val="20"/>
          <w:szCs w:val="20"/>
          <w:lang w:eastAsia="bg-BG"/>
        </w:rPr>
        <w:t>рамките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 </w:t>
      </w:r>
      <w:proofErr w:type="spellStart"/>
      <w:r w:rsidRPr="0064579B">
        <w:rPr>
          <w:b/>
          <w:bCs/>
          <w:sz w:val="20"/>
          <w:szCs w:val="20"/>
          <w:lang w:eastAsia="bg-BG"/>
        </w:rPr>
        <w:t>на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 </w:t>
      </w:r>
      <w:proofErr w:type="spellStart"/>
      <w:r w:rsidRPr="0064579B">
        <w:rPr>
          <w:b/>
          <w:bCs/>
          <w:sz w:val="20"/>
          <w:szCs w:val="20"/>
          <w:lang w:eastAsia="bg-BG"/>
        </w:rPr>
        <w:t>деня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“ </w:t>
      </w:r>
      <w:proofErr w:type="spellStart"/>
      <w:r w:rsidRPr="008201D1">
        <w:rPr>
          <w:sz w:val="20"/>
          <w:szCs w:val="20"/>
          <w:lang w:eastAsia="bg-BG"/>
        </w:rPr>
        <w:t>минималното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обезпечение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общо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  <w:t>6. 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обучение</w:t>
      </w:r>
      <w:proofErr w:type="spellEnd"/>
      <w:r w:rsidRPr="008201D1">
        <w:rPr>
          <w:sz w:val="20"/>
          <w:szCs w:val="20"/>
          <w:lang w:eastAsia="bg-BG"/>
        </w:rPr>
        <w:t xml:space="preserve"> е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всеки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представител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участник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упълномощен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търгува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негово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име</w:t>
      </w:r>
      <w:proofErr w:type="spellEnd"/>
      <w:r w:rsidRPr="008201D1">
        <w:rPr>
          <w:sz w:val="20"/>
          <w:szCs w:val="20"/>
          <w:lang w:eastAsia="bg-BG"/>
        </w:rPr>
        <w:t xml:space="preserve">, и </w:t>
      </w:r>
      <w:proofErr w:type="spellStart"/>
      <w:r w:rsidRPr="008201D1">
        <w:rPr>
          <w:sz w:val="20"/>
          <w:szCs w:val="20"/>
          <w:lang w:eastAsia="bg-BG"/>
        </w:rPr>
        <w:t>включва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обучение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тест</w:t>
      </w:r>
      <w:proofErr w:type="spellEnd"/>
      <w:r w:rsidRPr="008201D1">
        <w:rPr>
          <w:sz w:val="20"/>
          <w:szCs w:val="20"/>
          <w:lang w:eastAsia="bg-BG"/>
        </w:rPr>
        <w:t xml:space="preserve"> и </w:t>
      </w:r>
      <w:proofErr w:type="spellStart"/>
      <w:r w:rsidRPr="008201D1">
        <w:rPr>
          <w:sz w:val="20"/>
          <w:szCs w:val="20"/>
          <w:lang w:eastAsia="bg-BG"/>
        </w:rPr>
        <w:t>сертифициране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всеки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пазарните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  <w:t>7. 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Допълнителен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DigiPass</w:t>
      </w:r>
      <w:proofErr w:type="spellEnd"/>
      <w:r w:rsidRPr="008201D1">
        <w:rPr>
          <w:sz w:val="20"/>
          <w:szCs w:val="20"/>
          <w:lang w:eastAsia="bg-BG"/>
        </w:rPr>
        <w:t xml:space="preserve"> (</w:t>
      </w:r>
      <w:proofErr w:type="spellStart"/>
      <w:r w:rsidRPr="0064579B">
        <w:rPr>
          <w:i/>
          <w:iCs/>
          <w:sz w:val="20"/>
          <w:szCs w:val="20"/>
          <w:lang w:eastAsia="bg-BG"/>
        </w:rPr>
        <w:t>устройство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, </w:t>
      </w:r>
      <w:proofErr w:type="spellStart"/>
      <w:r w:rsidRPr="0064579B">
        <w:rPr>
          <w:i/>
          <w:iCs/>
          <w:sz w:val="20"/>
          <w:szCs w:val="20"/>
          <w:lang w:eastAsia="bg-BG"/>
        </w:rPr>
        <w:t>генератор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на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кодове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за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достъп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до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електронната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система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за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търговия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на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сегмент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„</w:t>
      </w:r>
      <w:proofErr w:type="spellStart"/>
      <w:r w:rsidRPr="0064579B">
        <w:rPr>
          <w:i/>
          <w:iCs/>
          <w:sz w:val="20"/>
          <w:szCs w:val="20"/>
          <w:lang w:eastAsia="bg-BG"/>
        </w:rPr>
        <w:t>Ден</w:t>
      </w:r>
      <w:proofErr w:type="spellEnd"/>
      <w:r w:rsidRPr="0064579B">
        <w:rPr>
          <w:i/>
          <w:iCs/>
          <w:sz w:val="20"/>
          <w:szCs w:val="20"/>
          <w:lang w:eastAsia="bg-BG"/>
        </w:rPr>
        <w:t xml:space="preserve"> </w:t>
      </w:r>
      <w:proofErr w:type="spellStart"/>
      <w:r w:rsidRPr="0064579B">
        <w:rPr>
          <w:i/>
          <w:iCs/>
          <w:sz w:val="20"/>
          <w:szCs w:val="20"/>
          <w:lang w:eastAsia="bg-BG"/>
        </w:rPr>
        <w:t>напред</w:t>
      </w:r>
      <w:proofErr w:type="spellEnd"/>
      <w:r w:rsidRPr="0064579B">
        <w:rPr>
          <w:i/>
          <w:iCs/>
          <w:sz w:val="20"/>
          <w:szCs w:val="20"/>
          <w:lang w:eastAsia="bg-BG"/>
        </w:rPr>
        <w:t>“</w:t>
      </w:r>
      <w:r w:rsidRPr="008201D1">
        <w:rPr>
          <w:sz w:val="20"/>
          <w:szCs w:val="20"/>
          <w:lang w:eastAsia="bg-BG"/>
        </w:rPr>
        <w:t xml:space="preserve">) - </w:t>
      </w:r>
      <w:proofErr w:type="spellStart"/>
      <w:r w:rsidRPr="008201D1">
        <w:rPr>
          <w:sz w:val="20"/>
          <w:szCs w:val="20"/>
          <w:lang w:eastAsia="bg-BG"/>
        </w:rPr>
        <w:t>сумата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дължи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допускане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допълнителен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потребител</w:t>
      </w:r>
      <w:proofErr w:type="spellEnd"/>
      <w:r w:rsidRPr="008201D1">
        <w:rPr>
          <w:sz w:val="20"/>
          <w:szCs w:val="20"/>
          <w:lang w:eastAsia="bg-BG"/>
        </w:rPr>
        <w:t xml:space="preserve"> в </w:t>
      </w:r>
      <w:proofErr w:type="spellStart"/>
      <w:r w:rsidRPr="008201D1">
        <w:rPr>
          <w:sz w:val="20"/>
          <w:szCs w:val="20"/>
          <w:lang w:eastAsia="bg-BG"/>
        </w:rPr>
        <w:t>системата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 „</w:t>
      </w:r>
      <w:proofErr w:type="spellStart"/>
      <w:r w:rsidRPr="008201D1">
        <w:rPr>
          <w:sz w:val="20"/>
          <w:szCs w:val="20"/>
          <w:lang w:eastAsia="bg-BG"/>
        </w:rPr>
        <w:t>Ден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напред</w:t>
      </w:r>
      <w:proofErr w:type="spellEnd"/>
      <w:r w:rsidRPr="008201D1">
        <w:rPr>
          <w:sz w:val="20"/>
          <w:szCs w:val="20"/>
          <w:lang w:eastAsia="bg-BG"/>
        </w:rPr>
        <w:t>“.</w:t>
      </w:r>
      <w:r w:rsidRPr="008201D1">
        <w:rPr>
          <w:sz w:val="20"/>
          <w:szCs w:val="20"/>
          <w:lang w:eastAsia="bg-BG"/>
        </w:rPr>
        <w:br/>
        <w:t>8. 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за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допълнително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портфолио</w:t>
      </w:r>
      <w:proofErr w:type="spellEnd"/>
      <w:r w:rsidRPr="0064579B">
        <w:rPr>
          <w:b/>
          <w:bCs/>
          <w:i/>
          <w:iCs/>
          <w:sz w:val="20"/>
          <w:szCs w:val="20"/>
          <w:lang w:eastAsia="bg-BG"/>
        </w:rPr>
        <w:t xml:space="preserve"> –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която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годишна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база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участници</w:t>
      </w:r>
      <w:proofErr w:type="spellEnd"/>
      <w:r w:rsidRPr="008201D1">
        <w:rPr>
          <w:sz w:val="20"/>
          <w:szCs w:val="20"/>
          <w:lang w:eastAsia="bg-BG"/>
        </w:rPr>
        <w:t xml:space="preserve"> с </w:t>
      </w:r>
      <w:proofErr w:type="spellStart"/>
      <w:r w:rsidRPr="008201D1">
        <w:rPr>
          <w:sz w:val="20"/>
          <w:szCs w:val="20"/>
          <w:lang w:eastAsia="bg-BG"/>
        </w:rPr>
        <w:t>активно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основно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портфолио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които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желаят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ползват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допълнително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портфолио</w:t>
      </w:r>
      <w:proofErr w:type="spellEnd"/>
      <w:r w:rsidRPr="008201D1">
        <w:rPr>
          <w:sz w:val="20"/>
          <w:szCs w:val="20"/>
          <w:lang w:eastAsia="bg-BG"/>
        </w:rPr>
        <w:t>.</w:t>
      </w:r>
      <w:r w:rsidRPr="008201D1">
        <w:rPr>
          <w:sz w:val="20"/>
          <w:szCs w:val="20"/>
          <w:lang w:eastAsia="bg-BG"/>
        </w:rPr>
        <w:br/>
        <w:t>9. 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иницииране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на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търг</w:t>
      </w:r>
      <w:proofErr w:type="spellEnd"/>
      <w:r w:rsidRPr="0064579B">
        <w:rPr>
          <w:b/>
          <w:bCs/>
          <w:i/>
          <w:iCs/>
          <w:sz w:val="20"/>
          <w:szCs w:val="20"/>
          <w:lang w:eastAsia="bg-BG"/>
        </w:rPr>
        <w:t xml:space="preserve"> –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която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инициатора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 xml:space="preserve"> „</w:t>
      </w:r>
      <w:proofErr w:type="spellStart"/>
      <w:r w:rsidRPr="008201D1">
        <w:rPr>
          <w:sz w:val="20"/>
          <w:szCs w:val="20"/>
          <w:lang w:eastAsia="bg-BG"/>
        </w:rPr>
        <w:t>Централизиран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покупко-продажба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електрическа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енергия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спосредством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двустранни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договори</w:t>
      </w:r>
      <w:proofErr w:type="spellEnd"/>
      <w:r w:rsidRPr="008201D1">
        <w:rPr>
          <w:sz w:val="20"/>
          <w:szCs w:val="20"/>
          <w:lang w:eastAsia="bg-BG"/>
        </w:rPr>
        <w:t>“.</w:t>
      </w:r>
      <w:r w:rsidRPr="008201D1">
        <w:rPr>
          <w:sz w:val="20"/>
          <w:szCs w:val="20"/>
          <w:lang w:eastAsia="bg-BG"/>
        </w:rPr>
        <w:br/>
      </w:r>
      <w:proofErr w:type="gramStart"/>
      <w:r w:rsidRPr="008201D1">
        <w:rPr>
          <w:sz w:val="20"/>
          <w:szCs w:val="20"/>
          <w:lang w:eastAsia="bg-BG"/>
        </w:rPr>
        <w:t>10.</w:t>
      </w:r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Такса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за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анулиране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на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сделка</w:t>
      </w:r>
      <w:proofErr w:type="spellEnd"/>
      <w:r w:rsidRPr="0064579B">
        <w:rPr>
          <w:b/>
          <w:bCs/>
          <w:i/>
          <w:iCs/>
          <w:sz w:val="20"/>
          <w:szCs w:val="20"/>
          <w:lang w:eastAsia="bg-BG"/>
        </w:rPr>
        <w:t xml:space="preserve"> –</w:t>
      </w:r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която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анулиране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сделка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съгласно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правилата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работа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съответния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пазарен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</w:t>
      </w:r>
      <w:proofErr w:type="spellEnd"/>
      <w:r w:rsidRPr="008201D1">
        <w:rPr>
          <w:sz w:val="20"/>
          <w:szCs w:val="20"/>
          <w:lang w:eastAsia="bg-BG"/>
        </w:rPr>
        <w:t>.</w:t>
      </w:r>
      <w:proofErr w:type="gramEnd"/>
      <w:r w:rsidRPr="008201D1">
        <w:rPr>
          <w:sz w:val="20"/>
          <w:szCs w:val="20"/>
          <w:lang w:eastAsia="bg-BG"/>
        </w:rPr>
        <w:br/>
        <w:t>11. 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Такса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докладване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</w:t>
      </w:r>
      <w:proofErr w:type="spellStart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>по</w:t>
      </w:r>
      <w:proofErr w:type="spellEnd"/>
      <w:r w:rsidRPr="0064579B">
        <w:rPr>
          <w:b/>
          <w:bCs/>
          <w:i/>
          <w:iCs/>
          <w:sz w:val="20"/>
          <w:szCs w:val="20"/>
          <w:u w:val="single"/>
          <w:lang w:eastAsia="bg-BG"/>
        </w:rPr>
        <w:t xml:space="preserve"> REMIT</w:t>
      </w:r>
      <w:r w:rsidRPr="008201D1">
        <w:rPr>
          <w:sz w:val="20"/>
          <w:szCs w:val="20"/>
          <w:lang w:eastAsia="bg-BG"/>
        </w:rPr>
        <w:t xml:space="preserve"> – </w:t>
      </w:r>
      <w:proofErr w:type="spellStart"/>
      <w:r w:rsidRPr="008201D1">
        <w:rPr>
          <w:sz w:val="20"/>
          <w:szCs w:val="20"/>
          <w:lang w:eastAsia="bg-BG"/>
        </w:rPr>
        <w:t>сума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дължима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месечна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база</w:t>
      </w:r>
      <w:proofErr w:type="spellEnd"/>
      <w:r w:rsidRPr="008201D1">
        <w:rPr>
          <w:sz w:val="20"/>
          <w:szCs w:val="20"/>
          <w:lang w:eastAsia="bg-BG"/>
        </w:rPr>
        <w:t xml:space="preserve">, </w:t>
      </w:r>
      <w:proofErr w:type="spellStart"/>
      <w:r w:rsidRPr="008201D1">
        <w:rPr>
          <w:sz w:val="20"/>
          <w:szCs w:val="20"/>
          <w:lang w:eastAsia="bg-BG"/>
        </w:rPr>
        <w:t>която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съгласно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подписан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договор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докладване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данни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между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търговски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участник</w:t>
      </w:r>
      <w:proofErr w:type="spellEnd"/>
      <w:r w:rsidRPr="008201D1">
        <w:rPr>
          <w:sz w:val="20"/>
          <w:szCs w:val="20"/>
          <w:lang w:eastAsia="bg-BG"/>
        </w:rPr>
        <w:t xml:space="preserve"> и БНЕБ ЕАД, в </w:t>
      </w:r>
      <w:proofErr w:type="spellStart"/>
      <w:r w:rsidRPr="008201D1">
        <w:rPr>
          <w:sz w:val="20"/>
          <w:szCs w:val="20"/>
          <w:lang w:eastAsia="bg-BG"/>
        </w:rPr>
        <w:t>качеството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му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организиран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</w:t>
      </w:r>
      <w:proofErr w:type="spellEnd"/>
      <w:r w:rsidRPr="008201D1">
        <w:rPr>
          <w:sz w:val="20"/>
          <w:szCs w:val="20"/>
          <w:lang w:eastAsia="bg-BG"/>
        </w:rPr>
        <w:t xml:space="preserve"> (Organised market place). </w:t>
      </w:r>
      <w:proofErr w:type="spellStart"/>
      <w:r w:rsidRPr="008201D1">
        <w:rPr>
          <w:sz w:val="20"/>
          <w:szCs w:val="20"/>
          <w:lang w:eastAsia="bg-BG"/>
        </w:rPr>
        <w:t>За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докладване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сделките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еднoвременно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на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пазарни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сегменти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r w:rsidRPr="0064579B">
        <w:rPr>
          <w:b/>
          <w:bCs/>
          <w:sz w:val="20"/>
          <w:szCs w:val="20"/>
          <w:lang w:eastAsia="bg-BG"/>
        </w:rPr>
        <w:t>„</w:t>
      </w:r>
      <w:proofErr w:type="spellStart"/>
      <w:r w:rsidRPr="0064579B">
        <w:rPr>
          <w:b/>
          <w:bCs/>
          <w:sz w:val="20"/>
          <w:szCs w:val="20"/>
          <w:lang w:eastAsia="bg-BG"/>
        </w:rPr>
        <w:t>Ден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 </w:t>
      </w:r>
      <w:proofErr w:type="spellStart"/>
      <w:r w:rsidRPr="0064579B">
        <w:rPr>
          <w:b/>
          <w:bCs/>
          <w:sz w:val="20"/>
          <w:szCs w:val="20"/>
          <w:lang w:eastAsia="bg-BG"/>
        </w:rPr>
        <w:t>напред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“ и „В </w:t>
      </w:r>
      <w:proofErr w:type="spellStart"/>
      <w:r w:rsidRPr="0064579B">
        <w:rPr>
          <w:b/>
          <w:bCs/>
          <w:sz w:val="20"/>
          <w:szCs w:val="20"/>
          <w:lang w:eastAsia="bg-BG"/>
        </w:rPr>
        <w:t>рамките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 </w:t>
      </w:r>
      <w:proofErr w:type="spellStart"/>
      <w:r w:rsidRPr="0064579B">
        <w:rPr>
          <w:b/>
          <w:bCs/>
          <w:sz w:val="20"/>
          <w:szCs w:val="20"/>
          <w:lang w:eastAsia="bg-BG"/>
        </w:rPr>
        <w:t>на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 </w:t>
      </w:r>
      <w:proofErr w:type="spellStart"/>
      <w:r w:rsidRPr="0064579B">
        <w:rPr>
          <w:b/>
          <w:bCs/>
          <w:sz w:val="20"/>
          <w:szCs w:val="20"/>
          <w:lang w:eastAsia="bg-BG"/>
        </w:rPr>
        <w:t>деня</w:t>
      </w:r>
      <w:proofErr w:type="spellEnd"/>
      <w:r w:rsidRPr="0064579B">
        <w:rPr>
          <w:b/>
          <w:bCs/>
          <w:sz w:val="20"/>
          <w:szCs w:val="20"/>
          <w:lang w:eastAsia="bg-BG"/>
        </w:rPr>
        <w:t xml:space="preserve">“ </w:t>
      </w:r>
      <w:proofErr w:type="spellStart"/>
      <w:r w:rsidRPr="008201D1">
        <w:rPr>
          <w:sz w:val="20"/>
          <w:szCs w:val="20"/>
          <w:lang w:eastAsia="bg-BG"/>
        </w:rPr>
        <w:t>се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заплаща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единствено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по-голямата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от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двете</w:t>
      </w:r>
      <w:proofErr w:type="spellEnd"/>
      <w:r w:rsidRPr="008201D1">
        <w:rPr>
          <w:sz w:val="20"/>
          <w:szCs w:val="20"/>
          <w:lang w:eastAsia="bg-BG"/>
        </w:rPr>
        <w:t xml:space="preserve"> </w:t>
      </w:r>
      <w:proofErr w:type="spellStart"/>
      <w:r w:rsidRPr="008201D1">
        <w:rPr>
          <w:sz w:val="20"/>
          <w:szCs w:val="20"/>
          <w:lang w:eastAsia="bg-BG"/>
        </w:rPr>
        <w:t>такси</w:t>
      </w:r>
      <w:proofErr w:type="spellEnd"/>
      <w:r w:rsidRPr="008201D1">
        <w:rPr>
          <w:sz w:val="20"/>
          <w:szCs w:val="20"/>
          <w:lang w:eastAsia="bg-BG"/>
        </w:rPr>
        <w:t>.</w:t>
      </w:r>
    </w:p>
    <w:p w:rsidR="00814145" w:rsidRPr="00F6162A" w:rsidRDefault="00814145" w:rsidP="00267C0C">
      <w:pPr>
        <w:spacing w:line="360" w:lineRule="auto"/>
        <w:rPr>
          <w:b/>
          <w:bCs/>
          <w:lang w:val="bg-BG"/>
        </w:rPr>
      </w:pPr>
    </w:p>
    <w:p w:rsidR="003A7B3A" w:rsidRDefault="003A7B3A" w:rsidP="00267C0C">
      <w:pPr>
        <w:ind w:left="748"/>
        <w:rPr>
          <w:b/>
          <w:u w:val="single"/>
          <w:lang w:val="bg-BG"/>
        </w:rPr>
      </w:pPr>
    </w:p>
    <w:p w:rsidR="00267C0C" w:rsidRPr="00F6162A" w:rsidRDefault="00267C0C" w:rsidP="00267C0C">
      <w:pPr>
        <w:ind w:left="748"/>
        <w:rPr>
          <w:b/>
          <w:u w:val="single"/>
          <w:lang w:val="bg-BG"/>
        </w:rPr>
      </w:pPr>
      <w:r w:rsidRPr="00F6162A">
        <w:rPr>
          <w:b/>
          <w:u w:val="single"/>
          <w:lang w:val="bg-BG"/>
        </w:rPr>
        <w:t>ПОДПИС и ПЕЧАТ:</w:t>
      </w:r>
    </w:p>
    <w:p w:rsidR="00267C0C" w:rsidRPr="00F6162A" w:rsidRDefault="00267C0C" w:rsidP="00267C0C">
      <w:pPr>
        <w:pStyle w:val="BodyText"/>
        <w:ind w:left="748"/>
      </w:pPr>
    </w:p>
    <w:p w:rsidR="00267C0C" w:rsidRPr="00F6162A" w:rsidRDefault="00267C0C" w:rsidP="00267C0C">
      <w:pPr>
        <w:pStyle w:val="BodyText"/>
        <w:ind w:left="748"/>
      </w:pPr>
      <w:r w:rsidRPr="00F6162A">
        <w:t>______________________ (име и Фамилия)</w:t>
      </w:r>
    </w:p>
    <w:p w:rsidR="00267C0C" w:rsidRPr="00F6162A" w:rsidRDefault="00267C0C" w:rsidP="00267C0C">
      <w:pPr>
        <w:pStyle w:val="BodyText"/>
        <w:ind w:left="748"/>
      </w:pPr>
    </w:p>
    <w:p w:rsidR="00267C0C" w:rsidRPr="00F6162A" w:rsidRDefault="00267C0C" w:rsidP="00267C0C">
      <w:pPr>
        <w:pStyle w:val="BodyText"/>
        <w:ind w:left="748"/>
      </w:pPr>
      <w:r w:rsidRPr="00F6162A">
        <w:t>______________________ (дата)</w:t>
      </w:r>
    </w:p>
    <w:p w:rsidR="00267C0C" w:rsidRPr="00F6162A" w:rsidRDefault="00267C0C" w:rsidP="00267C0C">
      <w:pPr>
        <w:pStyle w:val="BodyText"/>
        <w:ind w:left="748"/>
      </w:pPr>
    </w:p>
    <w:p w:rsidR="00267C0C" w:rsidRPr="00F6162A" w:rsidRDefault="00267C0C" w:rsidP="00267C0C">
      <w:pPr>
        <w:pStyle w:val="BodyText"/>
        <w:ind w:left="748"/>
      </w:pPr>
      <w:r w:rsidRPr="00F6162A">
        <w:t>______________________ (длъжност на управляващия/представляващия участника)</w:t>
      </w:r>
    </w:p>
    <w:p w:rsidR="00267C0C" w:rsidRPr="00F6162A" w:rsidRDefault="00267C0C" w:rsidP="00267C0C">
      <w:pPr>
        <w:pStyle w:val="BodyText"/>
        <w:ind w:left="748" w:hanging="2805"/>
      </w:pPr>
    </w:p>
    <w:p w:rsidR="00FB63CC" w:rsidRPr="003A7B3A" w:rsidRDefault="00267C0C" w:rsidP="003A7B3A">
      <w:pPr>
        <w:pStyle w:val="BodyText"/>
        <w:ind w:left="748"/>
        <w:rPr>
          <w:szCs w:val="24"/>
        </w:rPr>
      </w:pPr>
      <w:r w:rsidRPr="00F6162A">
        <w:t>______________________ (наименование на участника)</w:t>
      </w:r>
    </w:p>
    <w:sectPr w:rsidR="00FB63CC" w:rsidRPr="003A7B3A" w:rsidSect="003A7B3A">
      <w:footerReference w:type="even" r:id="rId4"/>
      <w:footerReference w:type="default" r:id="rId5"/>
      <w:pgSz w:w="16834" w:h="11909" w:orient="landscape" w:code="9"/>
      <w:pgMar w:top="993" w:right="851" w:bottom="426" w:left="851" w:header="709" w:footer="21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1F1" w:rsidRDefault="005A1BDF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71F1" w:rsidRDefault="005A1BDF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2973623"/>
      <w:docPartObj>
        <w:docPartGallery w:val="Page Numbers (Bottom of Page)"/>
        <w:docPartUnique/>
      </w:docPartObj>
    </w:sdtPr>
    <w:sdtEndPr/>
    <w:sdtContent>
      <w:p w:rsidR="000A27A8" w:rsidRDefault="005A1BDF">
        <w:pPr>
          <w:pStyle w:val="Footer"/>
          <w:jc w:val="right"/>
        </w:pPr>
        <w:r>
          <w:fldChar w:fldCharType="begin"/>
        </w:r>
        <w:r>
          <w:instrText xml:space="preserve"> PAGE   \* MERGEFOR</w:instrText>
        </w:r>
        <w:r>
          <w:instrText xml:space="preserve">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C71F1" w:rsidRDefault="005A1BDF" w:rsidP="00B323AB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67C0C"/>
    <w:rsid w:val="00123733"/>
    <w:rsid w:val="00267C0C"/>
    <w:rsid w:val="00295869"/>
    <w:rsid w:val="003A20F5"/>
    <w:rsid w:val="003A7B3A"/>
    <w:rsid w:val="0058522C"/>
    <w:rsid w:val="005A1BDF"/>
    <w:rsid w:val="0064579B"/>
    <w:rsid w:val="007A7C5A"/>
    <w:rsid w:val="00814145"/>
    <w:rsid w:val="00B452D6"/>
    <w:rsid w:val="00B56F9E"/>
    <w:rsid w:val="00E07A6C"/>
    <w:rsid w:val="00FB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267C0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67C0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67C0C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267C0C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267C0C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267C0C"/>
    <w:rPr>
      <w:rFonts w:ascii="Times New Roman" w:eastAsia="Times New Roman" w:hAnsi="Times New Roman" w:cs="Times New Roman"/>
      <w:b/>
      <w:sz w:val="24"/>
      <w:szCs w:val="24"/>
    </w:rPr>
  </w:style>
  <w:style w:type="paragraph" w:styleId="Footer">
    <w:name w:val="footer"/>
    <w:basedOn w:val="Normal"/>
    <w:link w:val="FooterChar"/>
    <w:uiPriority w:val="99"/>
    <w:rsid w:val="00267C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C0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267C0C"/>
  </w:style>
  <w:style w:type="table" w:styleId="TableGrid">
    <w:name w:val="Table Grid"/>
    <w:basedOn w:val="TableNormal"/>
    <w:uiPriority w:val="59"/>
    <w:rsid w:val="0026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1B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BDF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gczahariev</dc:creator>
  <cp:lastModifiedBy>gczahariev</cp:lastModifiedBy>
  <cp:revision>3</cp:revision>
  <cp:lastPrinted>2019-01-16T09:40:00Z</cp:lastPrinted>
  <dcterms:created xsi:type="dcterms:W3CDTF">2019-01-16T09:00:00Z</dcterms:created>
  <dcterms:modified xsi:type="dcterms:W3CDTF">2019-01-16T09:41:00Z</dcterms:modified>
</cp:coreProperties>
</file>