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E72DF3" w:rsidRDefault="006C0683" w:rsidP="006C0683">
      <w:pPr>
        <w:pStyle w:val="Title"/>
        <w:jc w:val="right"/>
        <w:rPr>
          <w:sz w:val="24"/>
          <w:lang w:val="bg-BG"/>
        </w:rPr>
      </w:pPr>
      <w:r w:rsidRPr="00E72DF3">
        <w:rPr>
          <w:sz w:val="24"/>
          <w:lang w:val="bg-BG"/>
        </w:rPr>
        <w:t>ОБРАЗЕЦ</w:t>
      </w:r>
    </w:p>
    <w:p w:rsidR="006C0683" w:rsidRPr="00E72DF3" w:rsidRDefault="006C0683" w:rsidP="006C0683">
      <w:pPr>
        <w:pStyle w:val="Title"/>
        <w:rPr>
          <w:lang w:val="bg-BG"/>
        </w:rPr>
      </w:pPr>
    </w:p>
    <w:p w:rsidR="006C0683" w:rsidRPr="00E72DF3" w:rsidRDefault="006C0683" w:rsidP="006C0683">
      <w:pPr>
        <w:pStyle w:val="Title"/>
        <w:rPr>
          <w:lang w:val="bg-BG"/>
        </w:rPr>
      </w:pPr>
    </w:p>
    <w:p w:rsidR="006C0683" w:rsidRPr="00E72DF3" w:rsidRDefault="006C0683" w:rsidP="006C0683">
      <w:pPr>
        <w:pStyle w:val="Title"/>
        <w:rPr>
          <w:lang w:val="bg-BG"/>
        </w:rPr>
      </w:pPr>
      <w:r w:rsidRPr="00E72DF3">
        <w:rPr>
          <w:lang w:val="bg-BG"/>
        </w:rPr>
        <w:t>Д Е К Л А Р А Ц И Я</w:t>
      </w:r>
    </w:p>
    <w:p w:rsidR="006C0683" w:rsidRPr="00E72DF3" w:rsidRDefault="006C0683" w:rsidP="006C0683">
      <w:pPr>
        <w:jc w:val="center"/>
        <w:rPr>
          <w:rFonts w:ascii="Times New Roman" w:hAnsi="Times New Roman"/>
          <w:lang w:val="bg-BG"/>
        </w:rPr>
      </w:pPr>
    </w:p>
    <w:p w:rsidR="006C0683" w:rsidRPr="00E72DF3" w:rsidRDefault="007A6BF7" w:rsidP="006C0683">
      <w:pPr>
        <w:spacing w:line="360" w:lineRule="auto"/>
        <w:jc w:val="center"/>
        <w:rPr>
          <w:rFonts w:ascii="Times New Roman" w:hAnsi="Times New Roman"/>
          <w:b/>
          <w:szCs w:val="22"/>
          <w:lang w:val="bg-BG"/>
        </w:rPr>
      </w:pPr>
      <w:r w:rsidRPr="00E72DF3">
        <w:rPr>
          <w:rFonts w:ascii="Times New Roman" w:hAnsi="Times New Roman"/>
          <w:b/>
          <w:szCs w:val="22"/>
          <w:lang w:val="bg-BG"/>
        </w:rPr>
        <w:t xml:space="preserve">за </w:t>
      </w:r>
      <w:r w:rsidR="000B0620" w:rsidRPr="00E72DF3">
        <w:rPr>
          <w:rFonts w:ascii="Times New Roman" w:hAnsi="Times New Roman"/>
          <w:b/>
          <w:szCs w:val="22"/>
          <w:lang w:val="bg-BG"/>
        </w:rPr>
        <w:t>квалификация на персонала</w:t>
      </w:r>
    </w:p>
    <w:p w:rsidR="009D17C0" w:rsidRPr="00E72DF3" w:rsidRDefault="009D17C0" w:rsidP="009D17C0">
      <w:pPr>
        <w:spacing w:line="360" w:lineRule="auto"/>
        <w:ind w:left="187" w:hanging="11"/>
        <w:jc w:val="center"/>
        <w:rPr>
          <w:rFonts w:ascii="Times New Roman" w:hAnsi="Times New Roman"/>
          <w:lang w:val="bg-BG"/>
        </w:rPr>
      </w:pPr>
      <w:r w:rsidRPr="00E72DF3">
        <w:rPr>
          <w:rFonts w:ascii="Times New Roman" w:hAnsi="Times New Roman"/>
          <w:szCs w:val="22"/>
          <w:lang w:val="bg-BG"/>
        </w:rPr>
        <w:t xml:space="preserve">от Кандидат за участие в процедура  </w:t>
      </w:r>
      <w:r w:rsidRPr="00E72DF3">
        <w:rPr>
          <w:rFonts w:ascii="Times New Roman" w:hAnsi="Times New Roman"/>
          <w:lang w:val="bg-BG"/>
        </w:rPr>
        <w:t xml:space="preserve">с предмет: </w:t>
      </w:r>
    </w:p>
    <w:p w:rsidR="009D17C0" w:rsidRPr="00E72DF3" w:rsidRDefault="0060239F" w:rsidP="009D17C0">
      <w:pPr>
        <w:spacing w:line="360" w:lineRule="auto"/>
        <w:ind w:left="187" w:hanging="11"/>
        <w:jc w:val="center"/>
        <w:rPr>
          <w:rFonts w:ascii="Times New Roman" w:hAnsi="Times New Roman"/>
          <w:lang w:val="bg-BG"/>
        </w:rPr>
      </w:pPr>
      <w:r w:rsidRPr="00E72DF3">
        <w:rPr>
          <w:rFonts w:ascii="Times New Roman" w:hAnsi="Times New Roman"/>
          <w:b/>
          <w:bCs/>
          <w:lang w:val="bg-BG"/>
        </w:rPr>
        <w:t xml:space="preserve">“Извънгаранционно поддържане и развитие на проекта на компютърна информационна управляваща система (КИУС) </w:t>
      </w:r>
      <w:proofErr w:type="spellStart"/>
      <w:r w:rsidRPr="00E72DF3">
        <w:rPr>
          <w:rFonts w:ascii="Times New Roman" w:hAnsi="Times New Roman"/>
          <w:b/>
          <w:bCs/>
          <w:lang w:val="bg-BG"/>
        </w:rPr>
        <w:t>Ovation</w:t>
      </w:r>
      <w:proofErr w:type="spellEnd"/>
      <w:r w:rsidRPr="00E72DF3">
        <w:rPr>
          <w:rFonts w:ascii="Times New Roman" w:hAnsi="Times New Roman"/>
          <w:b/>
          <w:bCs/>
          <w:lang w:val="bg-BG"/>
        </w:rPr>
        <w:t xml:space="preserve"> по първи, втори контур, спецкорпус-3 и системи за </w:t>
      </w:r>
      <w:proofErr w:type="spellStart"/>
      <w:r w:rsidRPr="00E72DF3">
        <w:rPr>
          <w:rFonts w:ascii="Times New Roman" w:hAnsi="Times New Roman"/>
          <w:b/>
          <w:bCs/>
          <w:lang w:val="bg-BG"/>
        </w:rPr>
        <w:t>радиационнен</w:t>
      </w:r>
      <w:proofErr w:type="spellEnd"/>
      <w:r w:rsidRPr="00E72DF3">
        <w:rPr>
          <w:rFonts w:ascii="Times New Roman" w:hAnsi="Times New Roman"/>
          <w:b/>
          <w:bCs/>
          <w:lang w:val="bg-BG"/>
        </w:rPr>
        <w:t xml:space="preserve"> мониторинг на 5 и 6 </w:t>
      </w:r>
      <w:proofErr w:type="spellStart"/>
      <w:r w:rsidRPr="00E72DF3">
        <w:rPr>
          <w:rFonts w:ascii="Times New Roman" w:hAnsi="Times New Roman"/>
          <w:b/>
          <w:bCs/>
          <w:lang w:val="bg-BG"/>
        </w:rPr>
        <w:t>енергоблок</w:t>
      </w:r>
      <w:proofErr w:type="spellEnd"/>
      <w:r w:rsidRPr="00E72DF3">
        <w:rPr>
          <w:rFonts w:ascii="Times New Roman" w:hAnsi="Times New Roman"/>
          <w:b/>
          <w:bCs/>
          <w:lang w:val="bg-BG"/>
        </w:rPr>
        <w:t xml:space="preserve"> на "АЕЦ Козлодуй" ЕАД”</w:t>
      </w:r>
    </w:p>
    <w:p w:rsidR="006C0683" w:rsidRPr="00E72DF3" w:rsidRDefault="006C0683" w:rsidP="006C0683">
      <w:pPr>
        <w:spacing w:line="360" w:lineRule="auto"/>
        <w:jc w:val="both"/>
        <w:rPr>
          <w:rFonts w:ascii="Times New Roman" w:hAnsi="Times New Roman"/>
          <w:szCs w:val="22"/>
          <w:u w:val="single"/>
          <w:lang w:val="bg-BG"/>
        </w:rPr>
      </w:pPr>
      <w:r w:rsidRPr="00E72DF3">
        <w:rPr>
          <w:rFonts w:ascii="Times New Roman" w:hAnsi="Times New Roman"/>
          <w:szCs w:val="22"/>
          <w:lang w:val="bg-BG"/>
        </w:rPr>
        <w:t>Долуподписаният /-</w:t>
      </w:r>
      <w:proofErr w:type="spellStart"/>
      <w:r w:rsidRPr="00E72DF3">
        <w:rPr>
          <w:rFonts w:ascii="Times New Roman" w:hAnsi="Times New Roman"/>
          <w:szCs w:val="22"/>
          <w:lang w:val="bg-BG"/>
        </w:rPr>
        <w:t>ната</w:t>
      </w:r>
      <w:proofErr w:type="spellEnd"/>
      <w:r w:rsidRPr="00E72DF3">
        <w:rPr>
          <w:rFonts w:ascii="Times New Roman" w:hAnsi="Times New Roman"/>
          <w:szCs w:val="22"/>
          <w:lang w:val="bg-BG"/>
        </w:rPr>
        <w:t xml:space="preserve">/ </w:t>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t>_____</w:t>
      </w:r>
    </w:p>
    <w:p w:rsidR="006C0683" w:rsidRPr="00E72DF3" w:rsidRDefault="006C0683" w:rsidP="006C0683">
      <w:pPr>
        <w:spacing w:line="360" w:lineRule="auto"/>
        <w:jc w:val="both"/>
        <w:rPr>
          <w:rFonts w:ascii="Times New Roman" w:hAnsi="Times New Roman"/>
          <w:szCs w:val="22"/>
          <w:u w:val="single"/>
          <w:lang w:val="bg-BG"/>
        </w:rPr>
      </w:pPr>
      <w:r w:rsidRPr="00E72DF3">
        <w:rPr>
          <w:rFonts w:ascii="Times New Roman" w:hAnsi="Times New Roman"/>
          <w:szCs w:val="22"/>
          <w:lang w:val="bg-BG"/>
        </w:rPr>
        <w:t>с ЕГН</w:t>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lang w:val="bg-BG"/>
        </w:rPr>
        <w:t xml:space="preserve">, притежаващ лична карта № </w:t>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lang w:val="bg-BG"/>
        </w:rPr>
        <w:t xml:space="preserve">, издадена на </w:t>
      </w:r>
      <w:r w:rsidRPr="00E72DF3">
        <w:rPr>
          <w:rFonts w:ascii="Times New Roman" w:hAnsi="Times New Roman"/>
          <w:szCs w:val="22"/>
          <w:u w:val="single"/>
          <w:lang w:val="bg-BG"/>
        </w:rPr>
        <w:tab/>
      </w:r>
      <w:r w:rsidRPr="00E72DF3">
        <w:rPr>
          <w:rFonts w:ascii="Times New Roman" w:hAnsi="Times New Roman"/>
          <w:szCs w:val="22"/>
          <w:u w:val="single"/>
          <w:lang w:val="bg-BG"/>
        </w:rPr>
        <w:tab/>
      </w:r>
      <w:r w:rsidR="0060239F" w:rsidRPr="00E72DF3">
        <w:rPr>
          <w:rFonts w:ascii="Times New Roman" w:hAnsi="Times New Roman"/>
          <w:szCs w:val="22"/>
          <w:u w:val="single"/>
          <w:lang w:val="bg-BG"/>
        </w:rPr>
        <w:t>__</w:t>
      </w:r>
    </w:p>
    <w:p w:rsidR="006C0683" w:rsidRPr="00E72DF3" w:rsidRDefault="006C0683" w:rsidP="006C0683">
      <w:pPr>
        <w:spacing w:line="360" w:lineRule="auto"/>
        <w:jc w:val="both"/>
        <w:rPr>
          <w:rFonts w:ascii="Times New Roman" w:hAnsi="Times New Roman"/>
          <w:szCs w:val="22"/>
          <w:lang w:val="bg-BG"/>
        </w:rPr>
      </w:pPr>
      <w:r w:rsidRPr="00E72DF3">
        <w:rPr>
          <w:rFonts w:ascii="Times New Roman" w:hAnsi="Times New Roman"/>
          <w:szCs w:val="22"/>
          <w:lang w:val="bg-BG"/>
        </w:rPr>
        <w:t xml:space="preserve">от МВР, гр. </w:t>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lang w:val="bg-BG"/>
        </w:rPr>
        <w:t>, адрес:</w:t>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t>__</w:t>
      </w:r>
    </w:p>
    <w:p w:rsidR="006C0683" w:rsidRPr="00E72DF3" w:rsidRDefault="006C0683" w:rsidP="006C0683">
      <w:pPr>
        <w:spacing w:line="360" w:lineRule="auto"/>
        <w:jc w:val="both"/>
        <w:rPr>
          <w:rFonts w:ascii="Times New Roman" w:hAnsi="Times New Roman"/>
          <w:szCs w:val="22"/>
          <w:u w:val="single"/>
          <w:lang w:val="bg-BG"/>
        </w:rPr>
      </w:pPr>
      <w:r w:rsidRPr="00E72DF3">
        <w:rPr>
          <w:rFonts w:ascii="Times New Roman" w:hAnsi="Times New Roman"/>
          <w:szCs w:val="22"/>
          <w:lang w:val="bg-BG"/>
        </w:rPr>
        <w:t>представляващ</w:t>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lang w:val="bg-BG"/>
        </w:rPr>
        <w:t xml:space="preserve">в качеството си на </w:t>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0060239F" w:rsidRPr="00E72DF3">
        <w:rPr>
          <w:rFonts w:ascii="Times New Roman" w:hAnsi="Times New Roman"/>
          <w:szCs w:val="22"/>
          <w:u w:val="single"/>
          <w:lang w:val="bg-BG"/>
        </w:rPr>
        <w:t>__</w:t>
      </w:r>
    </w:p>
    <w:p w:rsidR="006C0683" w:rsidRPr="00E72DF3" w:rsidRDefault="006C0683" w:rsidP="006C0683">
      <w:pPr>
        <w:spacing w:line="360" w:lineRule="auto"/>
        <w:jc w:val="both"/>
        <w:rPr>
          <w:rFonts w:ascii="Times New Roman" w:hAnsi="Times New Roman"/>
          <w:szCs w:val="22"/>
          <w:lang w:val="bg-BG"/>
        </w:rPr>
      </w:pP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lang w:val="bg-BG"/>
        </w:rPr>
        <w:t>със седалище</w:t>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t>_____</w:t>
      </w:r>
      <w:r w:rsidRPr="00E72DF3">
        <w:rPr>
          <w:rFonts w:ascii="Times New Roman" w:hAnsi="Times New Roman"/>
          <w:szCs w:val="22"/>
          <w:lang w:val="bg-BG"/>
        </w:rPr>
        <w:t xml:space="preserve"> и адрес на управление: </w:t>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lang w:val="bg-BG"/>
        </w:rPr>
        <w:t>, тел./факс:</w:t>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t>_____</w:t>
      </w:r>
      <w:r w:rsidRPr="00E72DF3">
        <w:rPr>
          <w:rFonts w:ascii="Times New Roman" w:hAnsi="Times New Roman"/>
          <w:szCs w:val="22"/>
          <w:lang w:val="bg-BG"/>
        </w:rPr>
        <w:t>,</w:t>
      </w:r>
      <w:r w:rsidR="0060239F" w:rsidRPr="00E72DF3">
        <w:rPr>
          <w:rFonts w:ascii="Times New Roman" w:hAnsi="Times New Roman"/>
          <w:szCs w:val="22"/>
          <w:u w:val="single"/>
          <w:lang w:val="bg-BG"/>
        </w:rPr>
        <w:t xml:space="preserve"> </w:t>
      </w:r>
      <w:r w:rsidRPr="00E72DF3">
        <w:rPr>
          <w:rFonts w:ascii="Times New Roman" w:hAnsi="Times New Roman"/>
          <w:szCs w:val="22"/>
          <w:lang w:val="bg-BG"/>
        </w:rPr>
        <w:t>вписано в търговския регистър към Агенцията по вписванията с ЕИК №</w:t>
      </w:r>
      <w:r w:rsidRPr="00E72DF3">
        <w:rPr>
          <w:rFonts w:ascii="Times New Roman" w:hAnsi="Times New Roman"/>
          <w:szCs w:val="22"/>
          <w:u w:val="single"/>
          <w:lang w:val="bg-BG"/>
        </w:rPr>
        <w:tab/>
      </w:r>
    </w:p>
    <w:p w:rsidR="006C0683" w:rsidRPr="00E72DF3" w:rsidRDefault="006C0683" w:rsidP="006C0683">
      <w:pPr>
        <w:spacing w:line="360" w:lineRule="auto"/>
        <w:jc w:val="both"/>
        <w:rPr>
          <w:rFonts w:ascii="Times New Roman" w:hAnsi="Times New Roman"/>
          <w:color w:val="000000"/>
          <w:position w:val="8"/>
          <w:szCs w:val="22"/>
          <w:u w:val="single"/>
          <w:lang w:val="bg-BG"/>
        </w:rPr>
      </w:pPr>
      <w:r w:rsidRPr="00E72DF3">
        <w:rPr>
          <w:rFonts w:ascii="Times New Roman" w:hAnsi="Times New Roman"/>
          <w:szCs w:val="22"/>
          <w:lang w:val="bg-BG"/>
        </w:rPr>
        <w:t xml:space="preserve"> ИН по ЗДДС №</w:t>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r w:rsidRPr="00E72DF3">
        <w:rPr>
          <w:rFonts w:ascii="Times New Roman" w:hAnsi="Times New Roman"/>
          <w:szCs w:val="22"/>
          <w:u w:val="single"/>
          <w:lang w:val="bg-BG"/>
        </w:rPr>
        <w:tab/>
      </w:r>
    </w:p>
    <w:p w:rsidR="006C0683" w:rsidRPr="00E72DF3" w:rsidRDefault="006C0683" w:rsidP="006C0683">
      <w:pPr>
        <w:spacing w:line="360" w:lineRule="auto"/>
        <w:jc w:val="both"/>
        <w:rPr>
          <w:rFonts w:ascii="Times New Roman" w:hAnsi="Times New Roman"/>
          <w:b/>
          <w:szCs w:val="22"/>
          <w:lang w:val="bg-BG"/>
        </w:rPr>
      </w:pPr>
    </w:p>
    <w:p w:rsidR="000B0620" w:rsidRPr="00E72DF3" w:rsidRDefault="000B0620" w:rsidP="000B0620">
      <w:pPr>
        <w:pStyle w:val="BodyText"/>
        <w:tabs>
          <w:tab w:val="left" w:pos="561"/>
        </w:tabs>
        <w:rPr>
          <w:szCs w:val="22"/>
        </w:rPr>
      </w:pPr>
    </w:p>
    <w:tbl>
      <w:tblPr>
        <w:tblW w:w="9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5"/>
        <w:gridCol w:w="3363"/>
        <w:gridCol w:w="1860"/>
        <w:gridCol w:w="1542"/>
        <w:gridCol w:w="2162"/>
      </w:tblGrid>
      <w:tr w:rsidR="000B0620" w:rsidRPr="00E72DF3" w:rsidTr="003B1E80">
        <w:tc>
          <w:tcPr>
            <w:tcW w:w="465" w:type="dxa"/>
            <w:vAlign w:val="center"/>
          </w:tcPr>
          <w:p w:rsidR="000B0620" w:rsidRPr="00E72DF3" w:rsidRDefault="000B0620" w:rsidP="008533E8">
            <w:pPr>
              <w:pStyle w:val="BodyText"/>
              <w:jc w:val="center"/>
              <w:rPr>
                <w:b/>
                <w:bCs/>
                <w:szCs w:val="22"/>
              </w:rPr>
            </w:pPr>
            <w:r w:rsidRPr="00E72DF3">
              <w:rPr>
                <w:b/>
                <w:bCs/>
              </w:rPr>
              <w:t>№</w:t>
            </w:r>
          </w:p>
        </w:tc>
        <w:tc>
          <w:tcPr>
            <w:tcW w:w="3363" w:type="dxa"/>
            <w:vAlign w:val="center"/>
          </w:tcPr>
          <w:p w:rsidR="000B0620" w:rsidRPr="00E72DF3" w:rsidRDefault="000B0620" w:rsidP="008533E8">
            <w:pPr>
              <w:pStyle w:val="BodyText"/>
              <w:jc w:val="center"/>
              <w:rPr>
                <w:b/>
                <w:bCs/>
                <w:szCs w:val="22"/>
              </w:rPr>
            </w:pPr>
            <w:r w:rsidRPr="00E72DF3">
              <w:rPr>
                <w:b/>
                <w:bCs/>
                <w:szCs w:val="22"/>
              </w:rPr>
              <w:t xml:space="preserve">Сфера на компетентност </w:t>
            </w:r>
          </w:p>
        </w:tc>
        <w:tc>
          <w:tcPr>
            <w:tcW w:w="1860" w:type="dxa"/>
            <w:vAlign w:val="center"/>
          </w:tcPr>
          <w:p w:rsidR="000B0620" w:rsidRPr="00E72DF3" w:rsidRDefault="000B0620" w:rsidP="008533E8">
            <w:pPr>
              <w:pStyle w:val="BodyText"/>
              <w:jc w:val="center"/>
              <w:rPr>
                <w:b/>
                <w:bCs/>
              </w:rPr>
            </w:pPr>
            <w:r w:rsidRPr="00E72DF3">
              <w:rPr>
                <w:b/>
                <w:bCs/>
              </w:rPr>
              <w:t>Образователна степен</w:t>
            </w:r>
          </w:p>
        </w:tc>
        <w:tc>
          <w:tcPr>
            <w:tcW w:w="1542" w:type="dxa"/>
            <w:vAlign w:val="center"/>
          </w:tcPr>
          <w:p w:rsidR="000B0620" w:rsidRPr="00E72DF3" w:rsidRDefault="000B0620" w:rsidP="000B0620">
            <w:pPr>
              <w:pStyle w:val="BodyText"/>
              <w:jc w:val="center"/>
              <w:rPr>
                <w:b/>
                <w:bCs/>
              </w:rPr>
            </w:pPr>
            <w:proofErr w:type="spellStart"/>
            <w:r w:rsidRPr="00E72DF3">
              <w:rPr>
                <w:b/>
                <w:bCs/>
              </w:rPr>
              <w:t>Професио</w:t>
            </w:r>
            <w:r w:rsidR="003B1E80" w:rsidRPr="00E72DF3">
              <w:rPr>
                <w:b/>
                <w:bCs/>
              </w:rPr>
              <w:t>-</w:t>
            </w:r>
            <w:r w:rsidRPr="00E72DF3">
              <w:rPr>
                <w:b/>
                <w:bCs/>
              </w:rPr>
              <w:t>нален</w:t>
            </w:r>
            <w:proofErr w:type="spellEnd"/>
            <w:r w:rsidRPr="00E72DF3">
              <w:rPr>
                <w:b/>
                <w:bCs/>
              </w:rPr>
              <w:t xml:space="preserve"> опит – общ и специфичен</w:t>
            </w:r>
          </w:p>
        </w:tc>
        <w:tc>
          <w:tcPr>
            <w:tcW w:w="2162" w:type="dxa"/>
            <w:vAlign w:val="center"/>
          </w:tcPr>
          <w:p w:rsidR="000B0620" w:rsidRPr="00E72DF3" w:rsidRDefault="000B0620" w:rsidP="003B1E80">
            <w:pPr>
              <w:pStyle w:val="BodyText"/>
              <w:jc w:val="center"/>
              <w:rPr>
                <w:b/>
                <w:bCs/>
                <w:szCs w:val="22"/>
              </w:rPr>
            </w:pPr>
            <w:r w:rsidRPr="00E72DF3">
              <w:rPr>
                <w:rFonts w:eastAsia="Arial Unicode MS"/>
                <w:b/>
                <w:bCs/>
              </w:rPr>
              <w:t>Документи за доказване (диплома, лиценз, сертификат, удостоверение и т.н.)</w:t>
            </w:r>
          </w:p>
        </w:tc>
      </w:tr>
      <w:tr w:rsidR="000B0620" w:rsidRPr="00E72DF3" w:rsidTr="003B1E80">
        <w:tc>
          <w:tcPr>
            <w:tcW w:w="465" w:type="dxa"/>
            <w:vAlign w:val="center"/>
          </w:tcPr>
          <w:p w:rsidR="000B0620" w:rsidRPr="00E72DF3" w:rsidRDefault="000B0620" w:rsidP="008533E8">
            <w:pPr>
              <w:jc w:val="center"/>
              <w:rPr>
                <w:rFonts w:ascii="Times New Roman" w:hAnsi="Times New Roman"/>
                <w:i/>
                <w:iCs/>
                <w:sz w:val="16"/>
                <w:lang w:val="bg-BG"/>
              </w:rPr>
            </w:pPr>
            <w:r w:rsidRPr="00E72DF3">
              <w:rPr>
                <w:rFonts w:ascii="Times New Roman" w:hAnsi="Times New Roman"/>
                <w:i/>
                <w:iCs/>
                <w:sz w:val="16"/>
                <w:lang w:val="bg-BG"/>
              </w:rPr>
              <w:t>1</w:t>
            </w:r>
          </w:p>
        </w:tc>
        <w:tc>
          <w:tcPr>
            <w:tcW w:w="3363" w:type="dxa"/>
            <w:vAlign w:val="center"/>
          </w:tcPr>
          <w:p w:rsidR="000B0620" w:rsidRPr="00E72DF3" w:rsidRDefault="000B0620" w:rsidP="008533E8">
            <w:pPr>
              <w:jc w:val="center"/>
              <w:rPr>
                <w:rFonts w:ascii="Times New Roman" w:hAnsi="Times New Roman"/>
                <w:i/>
                <w:iCs/>
                <w:sz w:val="16"/>
                <w:lang w:val="bg-BG"/>
              </w:rPr>
            </w:pPr>
            <w:r w:rsidRPr="00E72DF3">
              <w:rPr>
                <w:rFonts w:ascii="Times New Roman" w:hAnsi="Times New Roman"/>
                <w:i/>
                <w:iCs/>
                <w:sz w:val="16"/>
                <w:lang w:val="bg-BG"/>
              </w:rPr>
              <w:t>2</w:t>
            </w:r>
          </w:p>
        </w:tc>
        <w:tc>
          <w:tcPr>
            <w:tcW w:w="1860" w:type="dxa"/>
            <w:vAlign w:val="center"/>
          </w:tcPr>
          <w:p w:rsidR="000B0620" w:rsidRPr="00E72DF3" w:rsidRDefault="000B0620" w:rsidP="008533E8">
            <w:pPr>
              <w:jc w:val="center"/>
              <w:rPr>
                <w:rFonts w:ascii="Times New Roman" w:hAnsi="Times New Roman"/>
                <w:i/>
                <w:iCs/>
                <w:sz w:val="16"/>
                <w:lang w:val="bg-BG"/>
              </w:rPr>
            </w:pPr>
            <w:r w:rsidRPr="00E72DF3">
              <w:rPr>
                <w:rFonts w:ascii="Times New Roman" w:hAnsi="Times New Roman"/>
                <w:i/>
                <w:iCs/>
                <w:sz w:val="16"/>
                <w:lang w:val="bg-BG"/>
              </w:rPr>
              <w:t>3</w:t>
            </w:r>
          </w:p>
        </w:tc>
        <w:tc>
          <w:tcPr>
            <w:tcW w:w="1542" w:type="dxa"/>
          </w:tcPr>
          <w:p w:rsidR="000B0620" w:rsidRPr="00E72DF3" w:rsidRDefault="000B0620" w:rsidP="008533E8">
            <w:pPr>
              <w:jc w:val="center"/>
              <w:rPr>
                <w:rFonts w:ascii="Times New Roman" w:hAnsi="Times New Roman"/>
                <w:i/>
                <w:iCs/>
                <w:sz w:val="16"/>
                <w:lang w:val="bg-BG"/>
              </w:rPr>
            </w:pPr>
            <w:r w:rsidRPr="00E72DF3">
              <w:rPr>
                <w:rFonts w:ascii="Times New Roman" w:hAnsi="Times New Roman"/>
                <w:i/>
                <w:iCs/>
                <w:sz w:val="16"/>
                <w:lang w:val="bg-BG"/>
              </w:rPr>
              <w:t>4</w:t>
            </w:r>
          </w:p>
        </w:tc>
        <w:tc>
          <w:tcPr>
            <w:tcW w:w="2162" w:type="dxa"/>
            <w:vAlign w:val="center"/>
          </w:tcPr>
          <w:p w:rsidR="000B0620" w:rsidRPr="00E72DF3" w:rsidRDefault="000B0620" w:rsidP="008533E8">
            <w:pPr>
              <w:jc w:val="center"/>
              <w:rPr>
                <w:rFonts w:ascii="Times New Roman" w:hAnsi="Times New Roman"/>
                <w:i/>
                <w:iCs/>
                <w:sz w:val="16"/>
                <w:lang w:val="bg-BG"/>
              </w:rPr>
            </w:pPr>
            <w:r w:rsidRPr="00E72DF3">
              <w:rPr>
                <w:rFonts w:ascii="Times New Roman" w:hAnsi="Times New Roman"/>
                <w:i/>
                <w:iCs/>
                <w:sz w:val="16"/>
                <w:lang w:val="bg-BG"/>
              </w:rPr>
              <w:t>5</w:t>
            </w:r>
          </w:p>
        </w:tc>
      </w:tr>
      <w:tr w:rsidR="000B0620" w:rsidRPr="00E72DF3" w:rsidTr="003B1E80">
        <w:trPr>
          <w:trHeight w:val="607"/>
        </w:trPr>
        <w:tc>
          <w:tcPr>
            <w:tcW w:w="465" w:type="dxa"/>
            <w:vAlign w:val="center"/>
          </w:tcPr>
          <w:p w:rsidR="000B0620" w:rsidRPr="00E72DF3" w:rsidRDefault="000B0620" w:rsidP="008533E8">
            <w:pPr>
              <w:pStyle w:val="BodyText"/>
              <w:jc w:val="center"/>
              <w:rPr>
                <w:szCs w:val="22"/>
              </w:rPr>
            </w:pPr>
            <w:r w:rsidRPr="00E72DF3">
              <w:rPr>
                <w:szCs w:val="22"/>
              </w:rPr>
              <w:t>1.</w:t>
            </w:r>
          </w:p>
        </w:tc>
        <w:tc>
          <w:tcPr>
            <w:tcW w:w="3363" w:type="dxa"/>
            <w:vAlign w:val="center"/>
          </w:tcPr>
          <w:p w:rsidR="000B0620" w:rsidRPr="00E72DF3" w:rsidRDefault="003B1E80" w:rsidP="003B1E80">
            <w:pPr>
              <w:pStyle w:val="BodyText"/>
              <w:jc w:val="left"/>
              <w:rPr>
                <w:szCs w:val="22"/>
              </w:rPr>
            </w:pPr>
            <w:r w:rsidRPr="00E72DF3">
              <w:t>Специалисти с III-та квалификационна група, съгласно изискванията на ПБЗР-ЕУ</w:t>
            </w:r>
          </w:p>
        </w:tc>
        <w:tc>
          <w:tcPr>
            <w:tcW w:w="1860" w:type="dxa"/>
            <w:vAlign w:val="center"/>
          </w:tcPr>
          <w:p w:rsidR="000B0620" w:rsidRPr="00E72DF3" w:rsidRDefault="000B0620" w:rsidP="008533E8">
            <w:pPr>
              <w:pStyle w:val="BodyText"/>
              <w:jc w:val="center"/>
              <w:rPr>
                <w:szCs w:val="22"/>
              </w:rPr>
            </w:pPr>
          </w:p>
        </w:tc>
        <w:tc>
          <w:tcPr>
            <w:tcW w:w="1542" w:type="dxa"/>
          </w:tcPr>
          <w:p w:rsidR="000B0620" w:rsidRPr="00E72DF3" w:rsidRDefault="000B0620" w:rsidP="008533E8">
            <w:pPr>
              <w:pStyle w:val="BodyText"/>
              <w:jc w:val="center"/>
              <w:rPr>
                <w:szCs w:val="22"/>
              </w:rPr>
            </w:pPr>
          </w:p>
        </w:tc>
        <w:tc>
          <w:tcPr>
            <w:tcW w:w="2162" w:type="dxa"/>
            <w:vAlign w:val="center"/>
          </w:tcPr>
          <w:p w:rsidR="000B0620" w:rsidRPr="00E72DF3" w:rsidRDefault="000B0620" w:rsidP="008533E8">
            <w:pPr>
              <w:pStyle w:val="BodyText"/>
              <w:jc w:val="center"/>
              <w:rPr>
                <w:szCs w:val="22"/>
              </w:rPr>
            </w:pPr>
          </w:p>
        </w:tc>
      </w:tr>
      <w:tr w:rsidR="000B0620" w:rsidRPr="00E72DF3" w:rsidTr="003B1E80">
        <w:trPr>
          <w:trHeight w:val="607"/>
        </w:trPr>
        <w:tc>
          <w:tcPr>
            <w:tcW w:w="465" w:type="dxa"/>
            <w:vAlign w:val="center"/>
          </w:tcPr>
          <w:p w:rsidR="000B0620" w:rsidRPr="00E72DF3" w:rsidRDefault="000B0620" w:rsidP="008533E8">
            <w:pPr>
              <w:pStyle w:val="BodyText"/>
              <w:jc w:val="center"/>
              <w:rPr>
                <w:szCs w:val="22"/>
              </w:rPr>
            </w:pPr>
            <w:r w:rsidRPr="00E72DF3">
              <w:rPr>
                <w:szCs w:val="22"/>
              </w:rPr>
              <w:t>2.</w:t>
            </w:r>
          </w:p>
        </w:tc>
        <w:tc>
          <w:tcPr>
            <w:tcW w:w="3363" w:type="dxa"/>
            <w:vAlign w:val="center"/>
          </w:tcPr>
          <w:p w:rsidR="000B0620" w:rsidRPr="00E72DF3" w:rsidRDefault="003B1E80" w:rsidP="003B1E80">
            <w:pPr>
              <w:pStyle w:val="BodyText"/>
              <w:jc w:val="left"/>
              <w:rPr>
                <w:szCs w:val="22"/>
              </w:rPr>
            </w:pPr>
            <w:r w:rsidRPr="00E72DF3">
              <w:t>Специалист с IV-та квалификационна група, съгласно изискванията на ПБЗР-НУ</w:t>
            </w:r>
          </w:p>
        </w:tc>
        <w:tc>
          <w:tcPr>
            <w:tcW w:w="1860" w:type="dxa"/>
            <w:vAlign w:val="center"/>
          </w:tcPr>
          <w:p w:rsidR="000B0620" w:rsidRPr="00E72DF3" w:rsidRDefault="000B0620" w:rsidP="008533E8">
            <w:pPr>
              <w:pStyle w:val="BodyText"/>
              <w:jc w:val="center"/>
              <w:rPr>
                <w:szCs w:val="22"/>
              </w:rPr>
            </w:pPr>
          </w:p>
        </w:tc>
        <w:tc>
          <w:tcPr>
            <w:tcW w:w="1542" w:type="dxa"/>
          </w:tcPr>
          <w:p w:rsidR="000B0620" w:rsidRPr="00E72DF3" w:rsidRDefault="000B0620" w:rsidP="008533E8">
            <w:pPr>
              <w:pStyle w:val="BodyText"/>
              <w:jc w:val="center"/>
              <w:rPr>
                <w:szCs w:val="22"/>
              </w:rPr>
            </w:pPr>
          </w:p>
        </w:tc>
        <w:tc>
          <w:tcPr>
            <w:tcW w:w="2162" w:type="dxa"/>
            <w:vAlign w:val="center"/>
          </w:tcPr>
          <w:p w:rsidR="000B0620" w:rsidRPr="00E72DF3" w:rsidRDefault="000B0620" w:rsidP="008533E8">
            <w:pPr>
              <w:pStyle w:val="BodyText"/>
              <w:jc w:val="center"/>
              <w:rPr>
                <w:szCs w:val="22"/>
              </w:rPr>
            </w:pPr>
          </w:p>
        </w:tc>
      </w:tr>
      <w:tr w:rsidR="000B0620" w:rsidRPr="00E72DF3" w:rsidTr="003B1E80">
        <w:trPr>
          <w:trHeight w:val="607"/>
        </w:trPr>
        <w:tc>
          <w:tcPr>
            <w:tcW w:w="465" w:type="dxa"/>
            <w:vAlign w:val="center"/>
          </w:tcPr>
          <w:p w:rsidR="000B0620" w:rsidRPr="00E72DF3" w:rsidRDefault="000B0620" w:rsidP="008533E8">
            <w:pPr>
              <w:pStyle w:val="BodyText"/>
              <w:jc w:val="center"/>
              <w:rPr>
                <w:szCs w:val="22"/>
              </w:rPr>
            </w:pPr>
            <w:r w:rsidRPr="00E72DF3">
              <w:rPr>
                <w:szCs w:val="22"/>
              </w:rPr>
              <w:t>3.</w:t>
            </w:r>
          </w:p>
        </w:tc>
        <w:tc>
          <w:tcPr>
            <w:tcW w:w="3363" w:type="dxa"/>
            <w:vAlign w:val="center"/>
          </w:tcPr>
          <w:p w:rsidR="000B0620" w:rsidRPr="00E72DF3" w:rsidRDefault="003B1E80" w:rsidP="003B1E80">
            <w:pPr>
              <w:pStyle w:val="BodyText"/>
              <w:jc w:val="left"/>
              <w:rPr>
                <w:szCs w:val="22"/>
              </w:rPr>
            </w:pPr>
            <w:r w:rsidRPr="00E72DF3">
              <w:t xml:space="preserve">Специалисти с практически опит при реализирането на основния проект за внедряване на КИУС </w:t>
            </w:r>
            <w:proofErr w:type="spellStart"/>
            <w:r w:rsidRPr="00E72DF3">
              <w:t>Ovation</w:t>
            </w:r>
            <w:proofErr w:type="spellEnd"/>
            <w:r w:rsidRPr="00E72DF3">
              <w:t xml:space="preserve"> на блокове 5 и 6 в АЕЦ „Козлодуй“ или СК-3, необходим за извършването на анализи и разработване на предложения за отстраняване </w:t>
            </w:r>
            <w:r w:rsidRPr="00E72DF3">
              <w:lastRenderedPageBreak/>
              <w:t xml:space="preserve">на сложни казуси и идентифицирани проблеми във функционалния проект на КИУС </w:t>
            </w:r>
            <w:proofErr w:type="spellStart"/>
            <w:r w:rsidRPr="00E72DF3">
              <w:t>Ovation</w:t>
            </w:r>
            <w:proofErr w:type="spellEnd"/>
          </w:p>
        </w:tc>
        <w:tc>
          <w:tcPr>
            <w:tcW w:w="1860" w:type="dxa"/>
            <w:vAlign w:val="center"/>
          </w:tcPr>
          <w:p w:rsidR="000B0620" w:rsidRPr="00E72DF3" w:rsidRDefault="000B0620" w:rsidP="008533E8">
            <w:pPr>
              <w:pStyle w:val="BodyText"/>
              <w:jc w:val="center"/>
              <w:rPr>
                <w:szCs w:val="22"/>
              </w:rPr>
            </w:pPr>
          </w:p>
        </w:tc>
        <w:tc>
          <w:tcPr>
            <w:tcW w:w="1542" w:type="dxa"/>
          </w:tcPr>
          <w:p w:rsidR="000B0620" w:rsidRPr="00E72DF3" w:rsidRDefault="000B0620" w:rsidP="008533E8">
            <w:pPr>
              <w:pStyle w:val="BodyText"/>
              <w:jc w:val="center"/>
              <w:rPr>
                <w:szCs w:val="22"/>
              </w:rPr>
            </w:pPr>
          </w:p>
        </w:tc>
        <w:tc>
          <w:tcPr>
            <w:tcW w:w="2162" w:type="dxa"/>
            <w:vAlign w:val="center"/>
          </w:tcPr>
          <w:p w:rsidR="000B0620" w:rsidRPr="00E72DF3" w:rsidRDefault="000B0620" w:rsidP="008533E8">
            <w:pPr>
              <w:pStyle w:val="BodyText"/>
              <w:jc w:val="center"/>
              <w:rPr>
                <w:szCs w:val="22"/>
              </w:rPr>
            </w:pPr>
          </w:p>
        </w:tc>
      </w:tr>
      <w:tr w:rsidR="000B0620" w:rsidRPr="00E72DF3" w:rsidTr="003B1E80">
        <w:trPr>
          <w:trHeight w:val="607"/>
        </w:trPr>
        <w:tc>
          <w:tcPr>
            <w:tcW w:w="465" w:type="dxa"/>
            <w:vAlign w:val="center"/>
          </w:tcPr>
          <w:p w:rsidR="000B0620" w:rsidRPr="00E72DF3" w:rsidRDefault="003B1E80" w:rsidP="008533E8">
            <w:pPr>
              <w:pStyle w:val="BodyText"/>
              <w:jc w:val="center"/>
              <w:rPr>
                <w:szCs w:val="22"/>
              </w:rPr>
            </w:pPr>
            <w:r w:rsidRPr="00E72DF3">
              <w:rPr>
                <w:szCs w:val="22"/>
              </w:rPr>
              <w:lastRenderedPageBreak/>
              <w:t>4.</w:t>
            </w:r>
          </w:p>
        </w:tc>
        <w:tc>
          <w:tcPr>
            <w:tcW w:w="3363" w:type="dxa"/>
            <w:vAlign w:val="center"/>
          </w:tcPr>
          <w:p w:rsidR="000B0620" w:rsidRPr="00E72DF3" w:rsidRDefault="003B1E80" w:rsidP="003B1E80">
            <w:pPr>
              <w:pStyle w:val="BodyText"/>
              <w:jc w:val="left"/>
              <w:rPr>
                <w:szCs w:val="22"/>
              </w:rPr>
            </w:pPr>
            <w:r w:rsidRPr="00E72DF3">
              <w:t>Специалист с опит в поддръжката на платформа RADACS (за комуникационни сървъри от СРМ)</w:t>
            </w:r>
          </w:p>
        </w:tc>
        <w:tc>
          <w:tcPr>
            <w:tcW w:w="1860" w:type="dxa"/>
            <w:vAlign w:val="center"/>
          </w:tcPr>
          <w:p w:rsidR="000B0620" w:rsidRPr="00E72DF3" w:rsidRDefault="000B0620" w:rsidP="008533E8">
            <w:pPr>
              <w:pStyle w:val="BodyText"/>
              <w:jc w:val="center"/>
              <w:rPr>
                <w:szCs w:val="22"/>
              </w:rPr>
            </w:pPr>
          </w:p>
        </w:tc>
        <w:tc>
          <w:tcPr>
            <w:tcW w:w="1542" w:type="dxa"/>
          </w:tcPr>
          <w:p w:rsidR="000B0620" w:rsidRPr="00E72DF3" w:rsidRDefault="000B0620" w:rsidP="008533E8">
            <w:pPr>
              <w:pStyle w:val="BodyText"/>
              <w:jc w:val="center"/>
              <w:rPr>
                <w:szCs w:val="22"/>
              </w:rPr>
            </w:pPr>
          </w:p>
        </w:tc>
        <w:tc>
          <w:tcPr>
            <w:tcW w:w="2162" w:type="dxa"/>
            <w:vAlign w:val="center"/>
          </w:tcPr>
          <w:p w:rsidR="000B0620" w:rsidRPr="00E72DF3" w:rsidRDefault="000B0620" w:rsidP="008533E8">
            <w:pPr>
              <w:pStyle w:val="BodyText"/>
              <w:jc w:val="center"/>
              <w:rPr>
                <w:szCs w:val="22"/>
              </w:rPr>
            </w:pPr>
          </w:p>
        </w:tc>
      </w:tr>
      <w:tr w:rsidR="003B1E80" w:rsidRPr="00E72DF3" w:rsidTr="003B1E80">
        <w:trPr>
          <w:trHeight w:val="607"/>
        </w:trPr>
        <w:tc>
          <w:tcPr>
            <w:tcW w:w="465" w:type="dxa"/>
            <w:vAlign w:val="center"/>
          </w:tcPr>
          <w:p w:rsidR="003B1E80" w:rsidRPr="00E72DF3" w:rsidRDefault="003B1E80" w:rsidP="008533E8">
            <w:pPr>
              <w:pStyle w:val="BodyText"/>
              <w:jc w:val="center"/>
              <w:rPr>
                <w:szCs w:val="22"/>
              </w:rPr>
            </w:pPr>
            <w:r w:rsidRPr="00E72DF3">
              <w:rPr>
                <w:szCs w:val="22"/>
              </w:rPr>
              <w:t>5.</w:t>
            </w:r>
          </w:p>
        </w:tc>
        <w:tc>
          <w:tcPr>
            <w:tcW w:w="3363" w:type="dxa"/>
            <w:vAlign w:val="center"/>
          </w:tcPr>
          <w:p w:rsidR="003B1E80" w:rsidRPr="00E72DF3" w:rsidRDefault="003B1E80" w:rsidP="003B1E80">
            <w:pPr>
              <w:pStyle w:val="BodyText"/>
              <w:jc w:val="left"/>
              <w:rPr>
                <w:szCs w:val="22"/>
              </w:rPr>
            </w:pPr>
            <w:r w:rsidRPr="00E72DF3">
              <w:t xml:space="preserve">Специалисти, преминали формално обучение за поддръжка на програмно осигурителна платформа </w:t>
            </w:r>
            <w:bookmarkStart w:id="0" w:name="OLE_LINK1"/>
            <w:bookmarkStart w:id="1" w:name="OLE_LINK2"/>
            <w:proofErr w:type="spellStart"/>
            <w:r w:rsidRPr="00E72DF3">
              <w:t>Ovation</w:t>
            </w:r>
            <w:bookmarkEnd w:id="0"/>
            <w:bookmarkEnd w:id="1"/>
            <w:proofErr w:type="spellEnd"/>
            <w:r w:rsidRPr="00E72DF3">
              <w:t xml:space="preserve"> или (</w:t>
            </w:r>
            <w:proofErr w:type="spellStart"/>
            <w:r w:rsidRPr="00E72DF3">
              <w:t>Ovation-Unix</w:t>
            </w:r>
            <w:proofErr w:type="spellEnd"/>
            <w:r w:rsidRPr="00E72DF3">
              <w:t xml:space="preserve">) на </w:t>
            </w:r>
            <w:proofErr w:type="spellStart"/>
            <w:r w:rsidRPr="00E72DF3">
              <w:t>Emerson</w:t>
            </w:r>
            <w:proofErr w:type="spellEnd"/>
            <w:r w:rsidRPr="00E72DF3">
              <w:t xml:space="preserve"> </w:t>
            </w:r>
            <w:proofErr w:type="spellStart"/>
            <w:r w:rsidRPr="00E72DF3">
              <w:t>Process</w:t>
            </w:r>
            <w:proofErr w:type="spellEnd"/>
            <w:r w:rsidRPr="00E72DF3">
              <w:t xml:space="preserve"> </w:t>
            </w:r>
            <w:proofErr w:type="spellStart"/>
            <w:r w:rsidRPr="00E72DF3">
              <w:t>Management</w:t>
            </w:r>
            <w:proofErr w:type="spellEnd"/>
          </w:p>
        </w:tc>
        <w:tc>
          <w:tcPr>
            <w:tcW w:w="1860" w:type="dxa"/>
            <w:vAlign w:val="center"/>
          </w:tcPr>
          <w:p w:rsidR="003B1E80" w:rsidRPr="00E72DF3" w:rsidRDefault="003B1E80" w:rsidP="008533E8">
            <w:pPr>
              <w:pStyle w:val="BodyText"/>
              <w:jc w:val="center"/>
              <w:rPr>
                <w:szCs w:val="22"/>
              </w:rPr>
            </w:pPr>
          </w:p>
        </w:tc>
        <w:tc>
          <w:tcPr>
            <w:tcW w:w="1542" w:type="dxa"/>
          </w:tcPr>
          <w:p w:rsidR="003B1E80" w:rsidRPr="00E72DF3" w:rsidRDefault="003B1E80" w:rsidP="008533E8">
            <w:pPr>
              <w:pStyle w:val="BodyText"/>
              <w:jc w:val="center"/>
              <w:rPr>
                <w:szCs w:val="22"/>
              </w:rPr>
            </w:pPr>
          </w:p>
        </w:tc>
        <w:tc>
          <w:tcPr>
            <w:tcW w:w="2162" w:type="dxa"/>
            <w:vAlign w:val="center"/>
          </w:tcPr>
          <w:p w:rsidR="003B1E80" w:rsidRPr="00E72DF3" w:rsidRDefault="003B1E80" w:rsidP="008533E8">
            <w:pPr>
              <w:pStyle w:val="BodyText"/>
              <w:jc w:val="center"/>
              <w:rPr>
                <w:szCs w:val="22"/>
              </w:rPr>
            </w:pPr>
          </w:p>
        </w:tc>
      </w:tr>
    </w:tbl>
    <w:p w:rsidR="000B0620" w:rsidRPr="00E72DF3" w:rsidRDefault="000B0620" w:rsidP="000B0620">
      <w:pPr>
        <w:pStyle w:val="BodyText"/>
        <w:ind w:left="360"/>
      </w:pPr>
    </w:p>
    <w:p w:rsidR="00071AE3" w:rsidRPr="00E72DF3" w:rsidRDefault="00E72DF3" w:rsidP="00071AE3">
      <w:pPr>
        <w:spacing w:line="360" w:lineRule="auto"/>
        <w:jc w:val="both"/>
        <w:rPr>
          <w:rFonts w:ascii="Times New Roman" w:hAnsi="Times New Roman"/>
          <w:lang w:val="bg-BG"/>
        </w:rPr>
      </w:pPr>
      <w:r w:rsidRPr="00E72DF3">
        <w:rPr>
          <w:rFonts w:ascii="Times New Roman" w:hAnsi="Times New Roman"/>
          <w:lang w:val="bg-BG"/>
        </w:rPr>
        <w:t>Декларирам, че преди сключване на договора ще представя копия</w:t>
      </w:r>
      <w:r>
        <w:rPr>
          <w:rFonts w:ascii="Times New Roman" w:hAnsi="Times New Roman"/>
          <w:lang w:val="bg-BG"/>
        </w:rPr>
        <w:t xml:space="preserve"> на документите за доказване на специфичен опит (колона 5)</w:t>
      </w:r>
      <w:r w:rsidRPr="00E72DF3">
        <w:rPr>
          <w:rFonts w:ascii="Times New Roman" w:hAnsi="Times New Roman"/>
          <w:lang w:val="bg-BG"/>
        </w:rPr>
        <w:t xml:space="preserve">, </w:t>
      </w:r>
      <w:r w:rsidRPr="00E72DF3">
        <w:rPr>
          <w:rFonts w:ascii="Times New Roman" w:hAnsi="Times New Roman"/>
          <w:color w:val="000000"/>
          <w:lang w:val="bg-BG"/>
        </w:rPr>
        <w:t>заверени с гриф „Вярно с оригинала” копие, подпис на лице с представителни функции и свеж печат</w:t>
      </w:r>
      <w:r w:rsidRPr="00E72DF3">
        <w:rPr>
          <w:rFonts w:ascii="Times New Roman" w:hAnsi="Times New Roman"/>
          <w:lang w:val="bg-BG"/>
        </w:rPr>
        <w:t>.</w:t>
      </w:r>
    </w:p>
    <w:p w:rsidR="00E72DF3" w:rsidRPr="00E72DF3" w:rsidRDefault="00E72DF3" w:rsidP="00071AE3">
      <w:pPr>
        <w:spacing w:line="360" w:lineRule="auto"/>
        <w:jc w:val="both"/>
        <w:rPr>
          <w:rFonts w:ascii="Times New Roman" w:hAnsi="Times New Roman"/>
          <w:lang w:val="bg-BG"/>
        </w:rPr>
      </w:pPr>
    </w:p>
    <w:p w:rsidR="00E72DF3" w:rsidRPr="00E72DF3" w:rsidRDefault="00E72DF3" w:rsidP="00071AE3">
      <w:pPr>
        <w:spacing w:line="360" w:lineRule="auto"/>
        <w:jc w:val="both"/>
        <w:rPr>
          <w:rFonts w:ascii="Times New Roman" w:hAnsi="Times New Roman"/>
          <w:lang w:val="bg-BG"/>
        </w:rPr>
      </w:pPr>
    </w:p>
    <w:p w:rsidR="00E72DF3" w:rsidRPr="00E72DF3" w:rsidRDefault="00E72DF3" w:rsidP="00071AE3">
      <w:pPr>
        <w:spacing w:line="360" w:lineRule="auto"/>
        <w:jc w:val="both"/>
        <w:rPr>
          <w:rFonts w:ascii="Times New Roman" w:hAnsi="Times New Roman"/>
          <w:lang w:val="bg-BG"/>
        </w:rPr>
      </w:pPr>
    </w:p>
    <w:p w:rsidR="00071AE3" w:rsidRPr="00E72DF3" w:rsidRDefault="00071AE3" w:rsidP="00071AE3">
      <w:pPr>
        <w:jc w:val="both"/>
        <w:rPr>
          <w:rFonts w:ascii="Times New Roman" w:hAnsi="Times New Roman"/>
          <w:lang w:val="bg-BG"/>
        </w:rPr>
      </w:pPr>
      <w:r w:rsidRPr="00E72DF3">
        <w:rPr>
          <w:rFonts w:ascii="Times New Roman" w:hAnsi="Times New Roman"/>
          <w:u w:val="single"/>
          <w:lang w:val="bg-BG"/>
        </w:rPr>
        <w:tab/>
      </w:r>
      <w:r w:rsidRPr="00E72DF3">
        <w:rPr>
          <w:rFonts w:ascii="Times New Roman" w:hAnsi="Times New Roman"/>
          <w:u w:val="single"/>
          <w:lang w:val="bg-BG"/>
        </w:rPr>
        <w:tab/>
      </w:r>
      <w:r w:rsidRPr="00E72DF3">
        <w:rPr>
          <w:rFonts w:ascii="Times New Roman" w:hAnsi="Times New Roman"/>
          <w:u w:val="single"/>
          <w:lang w:val="bg-BG"/>
        </w:rPr>
        <w:tab/>
      </w:r>
      <w:r w:rsidRPr="00E72DF3">
        <w:rPr>
          <w:rFonts w:ascii="Times New Roman" w:hAnsi="Times New Roman"/>
          <w:lang w:val="bg-BG"/>
        </w:rPr>
        <w:t xml:space="preserve">г. </w:t>
      </w:r>
      <w:r w:rsidRPr="00E72DF3">
        <w:rPr>
          <w:rFonts w:ascii="Times New Roman" w:hAnsi="Times New Roman"/>
          <w:lang w:val="bg-BG"/>
        </w:rPr>
        <w:tab/>
      </w:r>
      <w:r w:rsidRPr="00E72DF3">
        <w:rPr>
          <w:rFonts w:ascii="Times New Roman" w:hAnsi="Times New Roman"/>
          <w:lang w:val="bg-BG"/>
        </w:rPr>
        <w:tab/>
      </w:r>
      <w:r w:rsidRPr="00E72DF3">
        <w:rPr>
          <w:rFonts w:ascii="Times New Roman" w:hAnsi="Times New Roman"/>
          <w:lang w:val="bg-BG"/>
        </w:rPr>
        <w:tab/>
      </w:r>
      <w:r w:rsidRPr="00E72DF3">
        <w:rPr>
          <w:rFonts w:ascii="Times New Roman" w:hAnsi="Times New Roman"/>
          <w:lang w:val="bg-BG"/>
        </w:rPr>
        <w:tab/>
      </w:r>
      <w:r w:rsidRPr="00E72DF3">
        <w:rPr>
          <w:rFonts w:ascii="Times New Roman" w:hAnsi="Times New Roman"/>
          <w:lang w:val="bg-BG"/>
        </w:rPr>
        <w:tab/>
        <w:t xml:space="preserve">Декларатор: </w:t>
      </w:r>
      <w:r w:rsidRPr="00E72DF3">
        <w:rPr>
          <w:rFonts w:ascii="Times New Roman" w:hAnsi="Times New Roman"/>
          <w:lang w:val="bg-BG"/>
        </w:rPr>
        <w:tab/>
      </w:r>
      <w:r w:rsidRPr="00E72DF3">
        <w:rPr>
          <w:rFonts w:ascii="Times New Roman" w:hAnsi="Times New Roman"/>
          <w:u w:val="single"/>
          <w:lang w:val="bg-BG"/>
        </w:rPr>
        <w:tab/>
      </w:r>
      <w:r w:rsidRPr="00E72DF3">
        <w:rPr>
          <w:rFonts w:ascii="Times New Roman" w:hAnsi="Times New Roman"/>
          <w:u w:val="single"/>
          <w:lang w:val="bg-BG"/>
        </w:rPr>
        <w:tab/>
      </w:r>
    </w:p>
    <w:p w:rsidR="00071AE3" w:rsidRPr="00E72DF3" w:rsidRDefault="00071AE3" w:rsidP="00071AE3">
      <w:pPr>
        <w:jc w:val="both"/>
        <w:rPr>
          <w:rFonts w:ascii="Times New Roman" w:hAnsi="Times New Roman"/>
          <w:lang w:val="bg-BG"/>
        </w:rPr>
      </w:pPr>
    </w:p>
    <w:p w:rsidR="00071AE3" w:rsidRPr="00E72DF3" w:rsidRDefault="00071AE3" w:rsidP="00071AE3">
      <w:pPr>
        <w:jc w:val="both"/>
        <w:rPr>
          <w:rFonts w:ascii="Times New Roman" w:hAnsi="Times New Roman"/>
          <w:lang w:val="bg-BG"/>
        </w:rPr>
      </w:pPr>
    </w:p>
    <w:p w:rsidR="00071AE3" w:rsidRPr="00E72DF3" w:rsidRDefault="00071AE3" w:rsidP="00071AE3">
      <w:pPr>
        <w:jc w:val="both"/>
        <w:rPr>
          <w:rFonts w:ascii="Times New Roman" w:hAnsi="Times New Roman"/>
          <w:lang w:val="bg-BG"/>
        </w:rPr>
      </w:pPr>
      <w:r w:rsidRPr="00E72DF3">
        <w:rPr>
          <w:rFonts w:ascii="Times New Roman" w:hAnsi="Times New Roman"/>
          <w:lang w:val="bg-BG"/>
        </w:rPr>
        <w:t>Забележка: Декларацията се подава в оригинал, от лице с представителни функции, съгласно чл. 40 от ППЗОП.</w:t>
      </w:r>
    </w:p>
    <w:p w:rsidR="00236D95" w:rsidRPr="00E72DF3" w:rsidRDefault="00236D95" w:rsidP="006C0683">
      <w:pPr>
        <w:jc w:val="both"/>
        <w:rPr>
          <w:rFonts w:ascii="Times New Roman" w:hAnsi="Times New Roman"/>
          <w:lang w:val="bg-BG"/>
        </w:rPr>
      </w:pPr>
    </w:p>
    <w:p w:rsidR="00236D95" w:rsidRPr="00E72DF3" w:rsidRDefault="00236D95" w:rsidP="006C0683">
      <w:pPr>
        <w:jc w:val="both"/>
        <w:rPr>
          <w:rFonts w:ascii="Times New Roman" w:hAnsi="Times New Roman"/>
          <w:lang w:val="bg-BG"/>
        </w:rPr>
      </w:pPr>
    </w:p>
    <w:p w:rsidR="00CD333A" w:rsidRPr="00E72DF3" w:rsidRDefault="00CD333A">
      <w:pPr>
        <w:rPr>
          <w:rFonts w:ascii="Times New Roman" w:hAnsi="Times New Roman"/>
          <w:b/>
          <w:bCs/>
          <w:lang w:val="bg-BG"/>
        </w:rPr>
      </w:pPr>
    </w:p>
    <w:sectPr w:rsidR="00CD333A" w:rsidRPr="00E72DF3"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5CE" w:rsidRDefault="00B825CE">
      <w:r>
        <w:separator/>
      </w:r>
    </w:p>
  </w:endnote>
  <w:endnote w:type="continuationSeparator" w:id="0">
    <w:p w:rsidR="00B825CE" w:rsidRDefault="00B825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5CE" w:rsidRDefault="00B825CE">
      <w:r>
        <w:separator/>
      </w:r>
    </w:p>
  </w:footnote>
  <w:footnote w:type="continuationSeparator" w:id="0">
    <w:p w:rsidR="00B825CE" w:rsidRDefault="00B825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71AE3"/>
    <w:rsid w:val="00094A88"/>
    <w:rsid w:val="000B0620"/>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808B7"/>
    <w:rsid w:val="002B5817"/>
    <w:rsid w:val="002D2E51"/>
    <w:rsid w:val="002D3C78"/>
    <w:rsid w:val="002E247A"/>
    <w:rsid w:val="002E5D57"/>
    <w:rsid w:val="002F13F9"/>
    <w:rsid w:val="00314007"/>
    <w:rsid w:val="003243DB"/>
    <w:rsid w:val="0033549C"/>
    <w:rsid w:val="00341DBC"/>
    <w:rsid w:val="00363854"/>
    <w:rsid w:val="003A4E99"/>
    <w:rsid w:val="003B09CD"/>
    <w:rsid w:val="003B0CD2"/>
    <w:rsid w:val="003B1E80"/>
    <w:rsid w:val="003E4737"/>
    <w:rsid w:val="004170CA"/>
    <w:rsid w:val="00424F1B"/>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79DC"/>
    <w:rsid w:val="00592444"/>
    <w:rsid w:val="00592BA4"/>
    <w:rsid w:val="005A48CC"/>
    <w:rsid w:val="005B5231"/>
    <w:rsid w:val="005F3ED8"/>
    <w:rsid w:val="006006B5"/>
    <w:rsid w:val="0060239F"/>
    <w:rsid w:val="006142A7"/>
    <w:rsid w:val="00625AE1"/>
    <w:rsid w:val="00632794"/>
    <w:rsid w:val="00645A28"/>
    <w:rsid w:val="00664AD1"/>
    <w:rsid w:val="006758D8"/>
    <w:rsid w:val="006768AB"/>
    <w:rsid w:val="006B20F8"/>
    <w:rsid w:val="006B347A"/>
    <w:rsid w:val="006C0683"/>
    <w:rsid w:val="006C679C"/>
    <w:rsid w:val="006F5A31"/>
    <w:rsid w:val="00740C38"/>
    <w:rsid w:val="007501CA"/>
    <w:rsid w:val="0077090B"/>
    <w:rsid w:val="00777CE4"/>
    <w:rsid w:val="007A6BF7"/>
    <w:rsid w:val="007E59AE"/>
    <w:rsid w:val="007F7D51"/>
    <w:rsid w:val="008163BC"/>
    <w:rsid w:val="00856C1B"/>
    <w:rsid w:val="00884725"/>
    <w:rsid w:val="008A31FF"/>
    <w:rsid w:val="008A7DAB"/>
    <w:rsid w:val="008B50F8"/>
    <w:rsid w:val="008D660C"/>
    <w:rsid w:val="0093346D"/>
    <w:rsid w:val="009543B4"/>
    <w:rsid w:val="009D17C0"/>
    <w:rsid w:val="009D3081"/>
    <w:rsid w:val="009E0AD2"/>
    <w:rsid w:val="009F7565"/>
    <w:rsid w:val="00A02C19"/>
    <w:rsid w:val="00A03B7A"/>
    <w:rsid w:val="00A11397"/>
    <w:rsid w:val="00A30C09"/>
    <w:rsid w:val="00A30CD1"/>
    <w:rsid w:val="00A45FB1"/>
    <w:rsid w:val="00A620CF"/>
    <w:rsid w:val="00A75C38"/>
    <w:rsid w:val="00A91E03"/>
    <w:rsid w:val="00AB4092"/>
    <w:rsid w:val="00AC4E9C"/>
    <w:rsid w:val="00AE5380"/>
    <w:rsid w:val="00AF1231"/>
    <w:rsid w:val="00B237B0"/>
    <w:rsid w:val="00B40BC7"/>
    <w:rsid w:val="00B52C56"/>
    <w:rsid w:val="00B74181"/>
    <w:rsid w:val="00B825CE"/>
    <w:rsid w:val="00B8287B"/>
    <w:rsid w:val="00BA0117"/>
    <w:rsid w:val="00BC7DAE"/>
    <w:rsid w:val="00BE66F4"/>
    <w:rsid w:val="00C35F73"/>
    <w:rsid w:val="00C441F2"/>
    <w:rsid w:val="00C51C59"/>
    <w:rsid w:val="00C537EB"/>
    <w:rsid w:val="00C54E44"/>
    <w:rsid w:val="00C96FB7"/>
    <w:rsid w:val="00CD333A"/>
    <w:rsid w:val="00CD740A"/>
    <w:rsid w:val="00D03ECC"/>
    <w:rsid w:val="00D053A4"/>
    <w:rsid w:val="00D119A2"/>
    <w:rsid w:val="00D34BA8"/>
    <w:rsid w:val="00D4661D"/>
    <w:rsid w:val="00D502E8"/>
    <w:rsid w:val="00D5792E"/>
    <w:rsid w:val="00D67A3A"/>
    <w:rsid w:val="00D8186F"/>
    <w:rsid w:val="00D855F2"/>
    <w:rsid w:val="00D87F94"/>
    <w:rsid w:val="00DA3A58"/>
    <w:rsid w:val="00DA51D5"/>
    <w:rsid w:val="00DD0B8E"/>
    <w:rsid w:val="00E13F81"/>
    <w:rsid w:val="00E229D5"/>
    <w:rsid w:val="00E3499C"/>
    <w:rsid w:val="00E67B83"/>
    <w:rsid w:val="00E72DF3"/>
    <w:rsid w:val="00E82D91"/>
    <w:rsid w:val="00E833D5"/>
    <w:rsid w:val="00EA22CC"/>
    <w:rsid w:val="00EA5162"/>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 w:type="character" w:customStyle="1" w:styleId="BodyTextChar">
    <w:name w:val="Body Text Char"/>
    <w:basedOn w:val="DefaultParagraphFont"/>
    <w:link w:val="BodyText"/>
    <w:rsid w:val="000B0620"/>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8</TotalTime>
  <Pages>2</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4</cp:revision>
  <cp:lastPrinted>2018-06-29T07:30:00Z</cp:lastPrinted>
  <dcterms:created xsi:type="dcterms:W3CDTF">2018-06-29T07:30:00Z</dcterms:created>
  <dcterms:modified xsi:type="dcterms:W3CDTF">2018-07-02T09:28:00Z</dcterms:modified>
</cp:coreProperties>
</file>